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D666" w14:textId="7E39CADD" w:rsidR="009F73FC" w:rsidRDefault="00000000">
      <w:r>
        <w:t>GSC Germany GmbH</w:t>
      </w:r>
      <w:r>
        <w:br/>
        <w:t>Tölzer Straße 37</w:t>
      </w:r>
      <w:r>
        <w:br/>
        <w:t>82031 Grünwald</w:t>
      </w:r>
      <w:r>
        <w:br/>
        <w:t>E-Mail: info@gsc-germany.de</w:t>
      </w:r>
    </w:p>
    <w:p w14:paraId="02FDDC54" w14:textId="77777777" w:rsidR="009F73FC" w:rsidRDefault="009F73FC"/>
    <w:p w14:paraId="5FFA2AC0" w14:textId="4EB66E81" w:rsidR="009F73FC" w:rsidRDefault="00000000">
      <w:r>
        <w:t>An</w:t>
      </w:r>
      <w:r>
        <w:br/>
        <w:t>Herrn Tobias Gügel</w:t>
      </w:r>
      <w:r>
        <w:br/>
      </w:r>
    </w:p>
    <w:p w14:paraId="4C18F3D0" w14:textId="77777777" w:rsidR="00C02419" w:rsidRDefault="00C02419"/>
    <w:p w14:paraId="1B46F659" w14:textId="77777777" w:rsidR="009F73FC" w:rsidRDefault="009F73FC"/>
    <w:p w14:paraId="0C6582B6" w14:textId="77777777" w:rsidR="009F73FC" w:rsidRDefault="00000000">
      <w:pPr>
        <w:jc w:val="right"/>
      </w:pPr>
      <w:r>
        <w:t>Grünwald, den 18. August 2025</w:t>
      </w:r>
    </w:p>
    <w:p w14:paraId="2D543372" w14:textId="77777777" w:rsidR="009F73FC" w:rsidRDefault="009F73FC"/>
    <w:p w14:paraId="12466027" w14:textId="77777777" w:rsidR="009F73FC" w:rsidRDefault="00000000">
      <w:r>
        <w:rPr>
          <w:b/>
        </w:rPr>
        <w:t>**Betreff:** Stellungnahme zur Ablehnung der Anerkennung der Restnutzungsdauer – Einkommensteuerbescheid 2023 von Herrn Tobias Gügel</w:t>
      </w:r>
    </w:p>
    <w:p w14:paraId="30E37370" w14:textId="77777777" w:rsidR="009F73FC" w:rsidRDefault="009F73FC"/>
    <w:p w14:paraId="20D05D2A" w14:textId="77777777" w:rsidR="009F73FC" w:rsidRDefault="00000000">
      <w:r>
        <w:t>Sehr geehrter Herr Gügel,</w:t>
      </w:r>
    </w:p>
    <w:p w14:paraId="6CB58D7D" w14:textId="77777777" w:rsidR="00C02419" w:rsidRDefault="00000000">
      <w:r>
        <w:t>in Bezug auf die Entscheidung des Finanzamts Forchheim vom 18.04.2025, in der die Berücksichtigung der verkürzten Restnutzungsdauer Ihrer Immobilie abgelehnt wurde, möchten wir Ihnen nachfolgend eine fachliche und rechtliche Stellungnahme zur Verfügung stellen. Diese können Sie dem Finanzamt als ergänzende Begründung in Ihrem Verfahren vorlegen.</w:t>
      </w:r>
      <w:r>
        <w:br/>
      </w:r>
      <w:r>
        <w:br/>
        <w:t>1. Gesetzliche Grundlage</w:t>
      </w:r>
      <w:r>
        <w:br/>
        <w:t>Gemäß § 7 Abs. 4 Satz 2 Einkommensteuergesetz (EStG)¹ ist es zulässig, anstelle der typisierten Nutzungsdauer eine kürzere tatsächliche Restnutzungsdauer anzusetzen, sofern diese nachgewiesen wird. Hierfür reicht ein schlüssiges Gutachten eines sachverständigen Dritten aus. Der Bundesfinanzhof (BFH) hat in ständiger Rechtsprechung bestätigt, dass die Finanzverwaltung eine solche individuelle Restnutzungsdauer zu berücksichtigen hat, sofern die tatsächlichen Gegebenheiten plausibel dargelegt sind².</w:t>
      </w:r>
      <w:r>
        <w:br/>
      </w:r>
      <w:r>
        <w:br/>
        <w:t>2. Vorwurf der fehlenden Zertifizierung</w:t>
      </w:r>
      <w:r>
        <w:br/>
        <w:t xml:space="preserve">Das Finanzamt verweist auf das BMF-Schreiben vom 22.02.2023³ und die dort genannte Anforderung, wonach Gutachten von nach DIN EN ISO/IEC 17024 akkreditierten Sachverständigen erstellt sein sollten. </w:t>
      </w:r>
      <w:proofErr w:type="spellStart"/>
      <w:r>
        <w:t>Hierzu</w:t>
      </w:r>
      <w:proofErr w:type="spellEnd"/>
      <w:r>
        <w:t xml:space="preserve"> </w:t>
      </w:r>
      <w:proofErr w:type="spellStart"/>
      <w:r>
        <w:t>stellen</w:t>
      </w:r>
      <w:proofErr w:type="spellEnd"/>
      <w:r>
        <w:t xml:space="preserve"> </w:t>
      </w:r>
      <w:proofErr w:type="spellStart"/>
      <w:r>
        <w:t>wir</w:t>
      </w:r>
      <w:proofErr w:type="spellEnd"/>
      <w:r>
        <w:t xml:space="preserve"> </w:t>
      </w:r>
      <w:proofErr w:type="spellStart"/>
      <w:r>
        <w:t>klar</w:t>
      </w:r>
      <w:proofErr w:type="spellEnd"/>
      <w:r>
        <w:t>:</w:t>
      </w:r>
    </w:p>
    <w:p w14:paraId="59BDDB1F" w14:textId="40545D6B" w:rsidR="00C02419" w:rsidRDefault="00C02419" w:rsidP="00C02419">
      <w:pPr>
        <w:pStyle w:val="Listenabsatz"/>
        <w:numPr>
          <w:ilvl w:val="0"/>
          <w:numId w:val="10"/>
        </w:numPr>
      </w:pPr>
      <w:r>
        <w:t xml:space="preserve">Lars Kurjo </w:t>
      </w:r>
      <w:proofErr w:type="spellStart"/>
      <w:r>
        <w:t>ist</w:t>
      </w:r>
      <w:proofErr w:type="spellEnd"/>
      <w:r>
        <w:t xml:space="preserve"> </w:t>
      </w:r>
      <w:proofErr w:type="spellStart"/>
      <w:r>
        <w:t>seit</w:t>
      </w:r>
      <w:proofErr w:type="spellEnd"/>
      <w:r>
        <w:t xml:space="preserve"> 2018 </w:t>
      </w:r>
      <w:proofErr w:type="spellStart"/>
      <w:r>
        <w:t>mit</w:t>
      </w:r>
      <w:proofErr w:type="spellEnd"/>
      <w:r>
        <w:t xml:space="preserve"> </w:t>
      </w:r>
      <w:proofErr w:type="spellStart"/>
      <w:r>
        <w:t>mehreren</w:t>
      </w:r>
      <w:proofErr w:type="spellEnd"/>
      <w:r>
        <w:t xml:space="preserve"> </w:t>
      </w:r>
      <w:proofErr w:type="spellStart"/>
      <w:r>
        <w:t>Rezertifizierungen</w:t>
      </w:r>
      <w:proofErr w:type="spellEnd"/>
      <w:r>
        <w:t xml:space="preserve"> und </w:t>
      </w:r>
      <w:proofErr w:type="spellStart"/>
      <w:r>
        <w:t>bereits</w:t>
      </w:r>
      <w:proofErr w:type="spellEnd"/>
      <w:r>
        <w:t xml:space="preserve"> </w:t>
      </w:r>
      <w:proofErr w:type="spellStart"/>
      <w:r>
        <w:t>durch</w:t>
      </w:r>
      <w:proofErr w:type="spellEnd"/>
      <w:r>
        <w:t xml:space="preserve"> </w:t>
      </w:r>
      <w:proofErr w:type="spellStart"/>
      <w:r>
        <w:t>mehrere</w:t>
      </w:r>
      <w:proofErr w:type="spellEnd"/>
      <w:r>
        <w:t xml:space="preserve"> </w:t>
      </w:r>
      <w:proofErr w:type="spellStart"/>
      <w:r>
        <w:t>Gerichte</w:t>
      </w:r>
      <w:proofErr w:type="spellEnd"/>
      <w:r>
        <w:t xml:space="preserve"> und </w:t>
      </w:r>
      <w:proofErr w:type="spellStart"/>
      <w:r>
        <w:t>Ämter</w:t>
      </w:r>
      <w:proofErr w:type="spellEnd"/>
      <w:r>
        <w:t xml:space="preserve"> </w:t>
      </w:r>
      <w:proofErr w:type="spellStart"/>
      <w:r>
        <w:t>bestätigter</w:t>
      </w:r>
      <w:proofErr w:type="spellEnd"/>
      <w:r>
        <w:t xml:space="preserve"> </w:t>
      </w:r>
      <w:proofErr w:type="spellStart"/>
      <w:r>
        <w:t>Sachverständiger</w:t>
      </w:r>
      <w:proofErr w:type="spellEnd"/>
      <w:r>
        <w:t xml:space="preserve">. </w:t>
      </w:r>
      <w:r w:rsidR="00000000">
        <w:br/>
        <w:t xml:space="preserve">- Unser </w:t>
      </w:r>
      <w:proofErr w:type="spellStart"/>
      <w:r w:rsidR="00000000">
        <w:t>Büro</w:t>
      </w:r>
      <w:proofErr w:type="spellEnd"/>
      <w:r w:rsidR="00000000">
        <w:t xml:space="preserve"> </w:t>
      </w:r>
      <w:proofErr w:type="spellStart"/>
      <w:r w:rsidR="00000000">
        <w:t>beschäftigt</w:t>
      </w:r>
      <w:proofErr w:type="spellEnd"/>
      <w:r>
        <w:t xml:space="preserve"> </w:t>
      </w:r>
      <w:proofErr w:type="spellStart"/>
      <w:r>
        <w:t>ebenso</w:t>
      </w:r>
      <w:proofErr w:type="spellEnd"/>
      <w:r w:rsidR="00000000">
        <w:t xml:space="preserve"> </w:t>
      </w:r>
      <w:proofErr w:type="spellStart"/>
      <w:r w:rsidR="00000000">
        <w:t>mehrere</w:t>
      </w:r>
      <w:proofErr w:type="spellEnd"/>
      <w:r w:rsidR="00000000">
        <w:t xml:space="preserve"> </w:t>
      </w:r>
      <w:proofErr w:type="spellStart"/>
      <w:r w:rsidR="00000000">
        <w:t>festangestellte</w:t>
      </w:r>
      <w:proofErr w:type="spellEnd"/>
      <w:r w:rsidR="00000000">
        <w:t xml:space="preserve"> </w:t>
      </w:r>
      <w:proofErr w:type="spellStart"/>
      <w:r w:rsidR="00000000">
        <w:t>Sachverständige</w:t>
      </w:r>
      <w:proofErr w:type="spellEnd"/>
      <w:r w:rsidR="00000000">
        <w:t xml:space="preserve"> mit Zertifizierung nach DIN EN ISO/IEC 17024.</w:t>
      </w:r>
      <w:r w:rsidR="00000000">
        <w:br/>
      </w:r>
      <w:r w:rsidR="00000000">
        <w:lastRenderedPageBreak/>
        <w:t>- Diese Zertifizierungen wurden durch die DAkkS anerkannten Prüfstellen erteilt.</w:t>
      </w:r>
      <w:r w:rsidR="00000000">
        <w:br/>
        <w:t>- Damit erfüllen wir die im BMF-Schreiben dargestellten Anforderungen.</w:t>
      </w:r>
      <w:r w:rsidR="00000000">
        <w:br/>
      </w:r>
      <w:r w:rsidR="00000000">
        <w:br/>
        <w:t>3. Fachliche Angemessenheit des Gutachtens</w:t>
      </w:r>
      <w:r w:rsidR="00000000">
        <w:br/>
        <w:t xml:space="preserve">Unser Gutachten basiert auf einer persönlichen Ortsbesichtigung, einer detaillierten Dokumentation von Bauzuständen und Schadensbildern sowie der Einordnung nach der Immobilienwertermittlungsverordnung (ImmoWertV </w:t>
      </w:r>
      <w:proofErr w:type="gramStart"/>
      <w:r w:rsidR="00000000">
        <w:t>2021)⁴</w:t>
      </w:r>
      <w:proofErr w:type="gramEnd"/>
      <w:r w:rsidR="00000000">
        <w:t>. Die individuellen Gegebenheiten des Objekts, insbesondere tragende Bauteile, Sanierungs- und Modernisierungszustand sowie Instandhaltungsrückstau, wurden berücksichtigt.</w:t>
      </w:r>
      <w:r w:rsidR="00000000">
        <w:br/>
      </w:r>
      <w:r w:rsidR="00000000">
        <w:br/>
        <w:t>4. Rechtliche Einordnung</w:t>
      </w:r>
      <w:r w:rsidR="00000000">
        <w:br/>
        <w:t>Der BFH hat ausdrücklich festgestellt, dass die Finanzverwaltung die Feststellung einer kürzeren Restnutzungsdauer nicht allein mit formalen Einwänden ablehnen darf, sondern eine Einzelfallprüfung vorzunehmen hat. Eine pauschale Zurückweisung ohne inhaltliche Auseinandersetzung mit den individuellen Feststellungen widerspricht der geltenden Rechtsprechung (vgl. BFH, Urteil v. 28.07.2021 – IX R 25/19⁵).</w:t>
      </w:r>
      <w:r w:rsidR="00000000">
        <w:br/>
      </w:r>
      <w:r w:rsidR="00000000">
        <w:br/>
        <w:t>5. Schlussfolgerung</w:t>
      </w:r>
      <w:r w:rsidR="00000000">
        <w:br/>
        <w:t>Nach unserer Auffassung ist die Begründung des Finanzamts nicht tragfähig. Unser Gutachten erfüllt sowohl die formalen Anforderungen nach dem BMF-Schreiben vom 22.02.2023 als auch die materiellen Voraussetzungen nach § 7 Abs. 4 Satz 2 EStG. Wir empfehlen Ihnen daher, dieses Schreiben zusammen mit unserem Gutachten an das Finanzamt weiterzuleiten und auf der Anerkennung der verkürzten Restnutzungsdauer zu bestehen.</w:t>
      </w:r>
      <w:r w:rsidR="00000000">
        <w:br/>
      </w:r>
      <w:r w:rsidR="00000000">
        <w:br/>
        <w:t>Mit freundlichen Grüßen</w:t>
      </w:r>
      <w:r w:rsidR="00000000">
        <w:br/>
      </w:r>
      <w:r w:rsidR="00000000">
        <w:br/>
        <w:t>GSC Germany GmbH</w:t>
      </w:r>
      <w:r w:rsidR="00000000">
        <w:br/>
      </w:r>
      <w:r>
        <w:t>Lars Kurjo</w:t>
      </w:r>
      <w:r w:rsidR="00000000">
        <w:br/>
      </w:r>
      <w:proofErr w:type="spellStart"/>
      <w:r>
        <w:t>Geschäftsführer</w:t>
      </w:r>
      <w:proofErr w:type="spellEnd"/>
    </w:p>
    <w:p w14:paraId="7492E70D" w14:textId="64E2DFF7" w:rsidR="009F73FC" w:rsidRDefault="00C02419" w:rsidP="00C02419">
      <w:pPr>
        <w:ind w:left="709"/>
      </w:pPr>
      <w:proofErr w:type="spellStart"/>
      <w:r>
        <w:t>Sachverständiger</w:t>
      </w:r>
      <w:proofErr w:type="spellEnd"/>
      <w:r>
        <w:t xml:space="preserve"> für </w:t>
      </w:r>
      <w:proofErr w:type="spellStart"/>
      <w:r>
        <w:t>bebaute</w:t>
      </w:r>
      <w:proofErr w:type="spellEnd"/>
      <w:r>
        <w:t xml:space="preserve"> und </w:t>
      </w:r>
      <w:proofErr w:type="spellStart"/>
      <w:r>
        <w:t>unbebaute</w:t>
      </w:r>
      <w:proofErr w:type="spellEnd"/>
      <w:r>
        <w:t xml:space="preserve"> </w:t>
      </w:r>
      <w:proofErr w:type="spellStart"/>
      <w:r>
        <w:t>Grundstücke</w:t>
      </w:r>
      <w:proofErr w:type="spellEnd"/>
      <w:r>
        <w:t xml:space="preserve"> </w:t>
      </w:r>
      <w:r w:rsidR="00000000">
        <w:br/>
      </w:r>
    </w:p>
    <w:p w14:paraId="42B6D2E9" w14:textId="77777777" w:rsidR="009F73FC" w:rsidRDefault="00000000">
      <w:r>
        <w:t>---</w:t>
      </w:r>
    </w:p>
    <w:p w14:paraId="7AC611C7" w14:textId="77777777" w:rsidR="009F73FC" w:rsidRDefault="00000000">
      <w:r>
        <w:t>¹ § 7 Abs. 4 Satz 2 EStG</w:t>
      </w:r>
      <w:r>
        <w:br/>
        <w:t>² BFH, Urteil v. 23.01.2024 – IX R 14/23</w:t>
      </w:r>
      <w:r>
        <w:br/>
        <w:t>³ BMF-Schreiben vom 22.02.2023, BStBl I 2023, 155</w:t>
      </w:r>
      <w:r>
        <w:br/>
        <w:t>⁴ Immobilienwertermittlungsverordnung (ImmoWertV 2021), § 4 Abs. 3, § 5 Abs. 1 S. 2</w:t>
      </w:r>
      <w:r>
        <w:br/>
        <w:t>⁵ BFH, Urteil v. 28.07.2021 – IX R 25/19, BStBl II 2022, 142</w:t>
      </w:r>
    </w:p>
    <w:sectPr w:rsidR="009F73FC" w:rsidSect="00034616">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8F0432"/>
    <w:multiLevelType w:val="hybridMultilevel"/>
    <w:tmpl w:val="485688FC"/>
    <w:lvl w:ilvl="0" w:tplc="F514AA7E">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16355384">
    <w:abstractNumId w:val="8"/>
  </w:num>
  <w:num w:numId="2" w16cid:durableId="2144998988">
    <w:abstractNumId w:val="6"/>
  </w:num>
  <w:num w:numId="3" w16cid:durableId="779956542">
    <w:abstractNumId w:val="5"/>
  </w:num>
  <w:num w:numId="4" w16cid:durableId="968583756">
    <w:abstractNumId w:val="4"/>
  </w:num>
  <w:num w:numId="5" w16cid:durableId="107432350">
    <w:abstractNumId w:val="7"/>
  </w:num>
  <w:num w:numId="6" w16cid:durableId="540214104">
    <w:abstractNumId w:val="3"/>
  </w:num>
  <w:num w:numId="7" w16cid:durableId="937368057">
    <w:abstractNumId w:val="2"/>
  </w:num>
  <w:num w:numId="8" w16cid:durableId="1315141775">
    <w:abstractNumId w:val="1"/>
  </w:num>
  <w:num w:numId="9" w16cid:durableId="1376852385">
    <w:abstractNumId w:val="0"/>
  </w:num>
  <w:num w:numId="10" w16cid:durableId="1135830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7B6A"/>
    <w:rsid w:val="009F73FC"/>
    <w:rsid w:val="00AA1D8D"/>
    <w:rsid w:val="00B47730"/>
    <w:rsid w:val="00C024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BDDF3"/>
  <w14:defaultImageDpi w14:val="300"/>
  <w15:docId w15:val="{7B008149-1B0E-4FA4-A86E-E6EB615D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-DerGutachter- Lars Kurjo</cp:lastModifiedBy>
  <cp:revision>2</cp:revision>
  <dcterms:created xsi:type="dcterms:W3CDTF">2025-08-18T10:56:00Z</dcterms:created>
  <dcterms:modified xsi:type="dcterms:W3CDTF">2025-08-18T10:56:00Z</dcterms:modified>
  <cp:category/>
</cp:coreProperties>
</file>