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DENTEX Tooth Detection: Project Overview</w:t>
      </w:r>
    </w:p>
    <w:p>
      <w:pPr>
        <w:jc w:val="center"/>
      </w:pPr>
      <w:r>
        <w:rPr>
          <w:i/>
        </w:rPr>
        <w:t>AI that finds dental problems on X-rays and says how sure it is</w:t>
        <w:br/>
      </w:r>
      <w:r>
        <w:t>Muhammad Ishaq · September 2026</w:t>
      </w:r>
    </w:p>
    <w:p>
      <w:pPr>
        <w:pStyle w:val="Heading1"/>
      </w:pPr>
      <w:r>
        <w:t>1. What the project is about</w:t>
      </w:r>
    </w:p>
    <w:p>
      <w:r>
        <w:t>Dentists use panoramic X-rays, a single wide image of the whole mouth, to spot problems such as tooth decay, infections at the root tip and wisdom teeth that are stuck under the gum. Reading these images takes time, and small problems are easy to miss.</w:t>
      </w:r>
    </w:p>
    <w:p>
      <w:r>
        <w:t>This project trains an AI model that looks at a panoramic X-ray and draws a box around each problem it finds, labelled with the type of problem. Most dental AI projects stop there. This one also measures how much each prediction can be trusted, so that a dentist knows which findings are solid and which need a second look.</w:t>
      </w:r>
    </w:p>
    <w:p>
      <w:pPr>
        <w:pStyle w:val="ListBullet"/>
      </w:pPr>
      <w:r>
        <w:rPr>
          <w:b/>
        </w:rPr>
        <w:t xml:space="preserve">Model: </w:t>
      </w:r>
      <w:r>
        <w:t>YOLO26, the newest version of the widely used YOLO object-detection family (Ultralytics, 2026), fine-tuned on a laptop GPU.</w:t>
      </w:r>
    </w:p>
    <w:p>
      <w:pPr>
        <w:pStyle w:val="ListBullet"/>
      </w:pPr>
      <w:r>
        <w:rPr>
          <w:b/>
        </w:rPr>
        <w:t xml:space="preserve">Trust layer: </w:t>
      </w:r>
      <w:r>
        <w:t>calibrated confidence scores, conformal prediction (statistically guaranteed error ranges) and MC-dropout (asking the model the same question 20 times and checking whether it agrees with itself).</w:t>
      </w:r>
    </w:p>
    <w:p>
      <w:pPr>
        <w:pStyle w:val="ListBullet"/>
      </w:pPr>
      <w:r>
        <w:rPr>
          <w:b/>
        </w:rPr>
        <w:t xml:space="preserve">Usable output: </w:t>
      </w:r>
      <w:r>
        <w:t>a web app where you upload an X-ray and get the findings, plus an online version deployable on Vercel.</w:t>
      </w:r>
    </w:p>
    <w:p>
      <w:pPr>
        <w:pStyle w:val="Heading1"/>
      </w:pPr>
      <w:r>
        <w:t>2. The dataset: DENTEX</w:t>
      </w:r>
    </w:p>
    <w:p>
      <w:r>
        <w:t>DENTEX (Dental Enumeration and Diagnosis on Panoramic X-rays) is a public benchmark released for the DENTEX challenge at MICCAI 2023, a leading medical-imaging conference. It is published on Hugging Face (ibrahimhamamci/DENTEX) under the CC BY-NC-SA 4.0 licence, which allows non-commercial research use.</w:t>
      </w:r>
    </w:p>
    <w:p>
      <w:pPr>
        <w:pStyle w:val="Heading2"/>
      </w:pPr>
      <w:r>
        <w:t>What is in it</w:t>
      </w:r>
    </w:p>
    <w:p>
      <w:r>
        <w:t>The X-rays are annotated hierarchically, following the FDI numbering system dentists use. Each box can carry up to three labels:</w:t>
      </w:r>
    </w:p>
    <w:p>
      <w:pPr>
        <w:pStyle w:val="ListBullet"/>
      </w:pPr>
      <w:r>
        <w:rPr>
          <w:b/>
        </w:rPr>
        <w:t xml:space="preserve">Quadrant: </w:t>
      </w:r>
      <w:r>
        <w:t>which quarter of the mouth (upper right, upper left, lower left, lower right).</w:t>
      </w:r>
    </w:p>
    <w:p>
      <w:pPr>
        <w:pStyle w:val="ListBullet"/>
      </w:pPr>
      <w:r>
        <w:rPr>
          <w:b/>
        </w:rPr>
        <w:t xml:space="preserve">Tooth number: </w:t>
      </w:r>
      <w:r>
        <w:t>which tooth, 1 to 8, within that quadrant.</w:t>
      </w:r>
    </w:p>
    <w:p>
      <w:pPr>
        <w:pStyle w:val="ListBullet"/>
      </w:pPr>
      <w:r>
        <w:rPr>
          <w:b/>
        </w:rPr>
        <w:t xml:space="preserve">Diagnosis: </w:t>
      </w:r>
      <w:r>
        <w:t>what is wrong with the tooth.</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4E79"/>
          </w:tcPr>
          <w:p>
            <w:r/>
            <w:r>
              <w:rPr>
                <w:b/>
                <w:color w:val="FFFFFF"/>
                <w:sz w:val="18"/>
              </w:rPr>
              <w:t>DENTEX subset</w:t>
            </w:r>
          </w:p>
        </w:tc>
        <w:tc>
          <w:tcPr>
            <w:tcW w:type="dxa" w:w="3216"/>
            <w:shd w:val="clear" w:color="auto" w:fill="1F4E79"/>
          </w:tcPr>
          <w:p>
            <w:r/>
            <w:r>
              <w:rPr>
                <w:b/>
                <w:color w:val="FFFFFF"/>
                <w:sz w:val="18"/>
              </w:rPr>
              <w:t>X-rays</w:t>
            </w:r>
          </w:p>
        </w:tc>
        <w:tc>
          <w:tcPr>
            <w:tcW w:type="dxa" w:w="3216"/>
            <w:shd w:val="clear" w:color="auto" w:fill="1F4E79"/>
          </w:tcPr>
          <w:p>
            <w:r/>
            <w:r>
              <w:rPr>
                <w:b/>
                <w:color w:val="FFFFFF"/>
                <w:sz w:val="18"/>
              </w:rPr>
              <w:t>Labels</w:t>
            </w:r>
          </w:p>
        </w:tc>
      </w:tr>
      <w:tr>
        <w:tc>
          <w:tcPr>
            <w:tcW w:type="dxa" w:w="3216"/>
          </w:tcPr>
          <w:p>
            <w:r/>
            <w:r>
              <w:rPr>
                <w:b w:val="0"/>
                <w:sz w:val="18"/>
              </w:rPr>
              <w:t>Quadrant only</w:t>
            </w:r>
          </w:p>
        </w:tc>
        <w:tc>
          <w:tcPr>
            <w:tcW w:type="dxa" w:w="3216"/>
          </w:tcPr>
          <w:p>
            <w:pPr>
              <w:jc w:val="right"/>
            </w:pPr>
            <w:r/>
            <w:r>
              <w:rPr>
                <w:b w:val="0"/>
                <w:sz w:val="18"/>
              </w:rPr>
              <w:t>693</w:t>
            </w:r>
          </w:p>
        </w:tc>
        <w:tc>
          <w:tcPr>
            <w:tcW w:type="dxa" w:w="3216"/>
          </w:tcPr>
          <w:p>
            <w:pPr>
              <w:jc w:val="right"/>
            </w:pPr>
            <w:r/>
            <w:r>
              <w:rPr>
                <w:b w:val="0"/>
                <w:sz w:val="18"/>
              </w:rPr>
              <w:t>quadrant</w:t>
            </w:r>
          </w:p>
        </w:tc>
      </w:tr>
      <w:tr>
        <w:tc>
          <w:tcPr>
            <w:tcW w:type="dxa" w:w="3216"/>
            <w:shd w:val="clear" w:color="auto" w:fill="F2F6FA"/>
          </w:tcPr>
          <w:p>
            <w:r/>
            <w:r>
              <w:rPr>
                <w:b w:val="0"/>
                <w:sz w:val="18"/>
              </w:rPr>
              <w:t>Quadrant + tooth</w:t>
            </w:r>
          </w:p>
        </w:tc>
        <w:tc>
          <w:tcPr>
            <w:tcW w:type="dxa" w:w="3216"/>
            <w:shd w:val="clear" w:color="auto" w:fill="F2F6FA"/>
          </w:tcPr>
          <w:p>
            <w:pPr>
              <w:jc w:val="right"/>
            </w:pPr>
            <w:r/>
            <w:r>
              <w:rPr>
                <w:b w:val="0"/>
                <w:sz w:val="18"/>
              </w:rPr>
              <w:t>634</w:t>
            </w:r>
          </w:p>
        </w:tc>
        <w:tc>
          <w:tcPr>
            <w:tcW w:type="dxa" w:w="3216"/>
            <w:shd w:val="clear" w:color="auto" w:fill="F2F6FA"/>
          </w:tcPr>
          <w:p>
            <w:pPr>
              <w:jc w:val="right"/>
            </w:pPr>
            <w:r/>
            <w:r>
              <w:rPr>
                <w:b w:val="0"/>
                <w:sz w:val="18"/>
              </w:rPr>
              <w:t>quadrant, tooth number</w:t>
            </w:r>
          </w:p>
        </w:tc>
      </w:tr>
      <w:tr>
        <w:tc>
          <w:tcPr>
            <w:tcW w:type="dxa" w:w="3216"/>
          </w:tcPr>
          <w:p>
            <w:r/>
            <w:r>
              <w:rPr>
                <w:b w:val="0"/>
                <w:sz w:val="18"/>
              </w:rPr>
              <w:t>Fully labelled (used in this project)</w:t>
            </w:r>
          </w:p>
        </w:tc>
        <w:tc>
          <w:tcPr>
            <w:tcW w:type="dxa" w:w="3216"/>
          </w:tcPr>
          <w:p>
            <w:pPr>
              <w:jc w:val="right"/>
            </w:pPr>
            <w:r/>
            <w:r>
              <w:rPr>
                <w:b w:val="0"/>
                <w:sz w:val="18"/>
              </w:rPr>
              <w:t>1,005</w:t>
            </w:r>
          </w:p>
        </w:tc>
        <w:tc>
          <w:tcPr>
            <w:tcW w:type="dxa" w:w="3216"/>
          </w:tcPr>
          <w:p>
            <w:pPr>
              <w:jc w:val="right"/>
            </w:pPr>
            <w:r/>
            <w:r>
              <w:rPr>
                <w:b w:val="0"/>
                <w:sz w:val="18"/>
              </w:rPr>
              <w:t>quadrant, tooth number, diagnosis</w:t>
            </w:r>
          </w:p>
        </w:tc>
      </w:tr>
      <w:tr>
        <w:tc>
          <w:tcPr>
            <w:tcW w:type="dxa" w:w="3216"/>
            <w:shd w:val="clear" w:color="auto" w:fill="F2F6FA"/>
          </w:tcPr>
          <w:p>
            <w:r/>
            <w:r>
              <w:rPr>
                <w:b w:val="0"/>
                <w:sz w:val="18"/>
              </w:rPr>
              <w:t>Unlabelled</w:t>
            </w:r>
          </w:p>
        </w:tc>
        <w:tc>
          <w:tcPr>
            <w:tcW w:type="dxa" w:w="3216"/>
            <w:shd w:val="clear" w:color="auto" w:fill="F2F6FA"/>
          </w:tcPr>
          <w:p>
            <w:pPr>
              <w:jc w:val="right"/>
            </w:pPr>
            <w:r/>
            <w:r>
              <w:rPr>
                <w:b w:val="0"/>
                <w:sz w:val="18"/>
              </w:rPr>
              <w:t>1,571</w:t>
            </w:r>
          </w:p>
        </w:tc>
        <w:tc>
          <w:tcPr>
            <w:tcW w:type="dxa" w:w="3216"/>
            <w:shd w:val="clear" w:color="auto" w:fill="F2F6FA"/>
          </w:tcPr>
          <w:p>
            <w:pPr>
              <w:jc w:val="right"/>
            </w:pPr>
            <w:r/>
            <w:r>
              <w:rPr>
                <w:b w:val="0"/>
                <w:sz w:val="18"/>
              </w:rPr>
              <w:t>none (for pre-training)</w:t>
            </w:r>
          </w:p>
        </w:tc>
      </w:tr>
    </w:tbl>
    <w:p/>
    <w:p>
      <w:pPr>
        <w:pStyle w:val="Heading2"/>
      </w:pPr>
      <w:r>
        <w:t>The four diagnoses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4E79"/>
          </w:tcPr>
          <w:p>
            <w:r/>
            <w:r>
              <w:rPr>
                <w:b/>
                <w:color w:val="FFFFFF"/>
                <w:sz w:val="18"/>
              </w:rPr>
              <w:t>Diagnosis</w:t>
            </w:r>
          </w:p>
        </w:tc>
        <w:tc>
          <w:tcPr>
            <w:tcW w:type="dxa" w:w="4824"/>
            <w:shd w:val="clear" w:color="auto" w:fill="1F4E79"/>
          </w:tcPr>
          <w:p>
            <w:r/>
            <w:r>
              <w:rPr>
                <w:b/>
                <w:color w:val="FFFFFF"/>
                <w:sz w:val="18"/>
              </w:rPr>
              <w:t>What it means</w:t>
            </w:r>
          </w:p>
        </w:tc>
      </w:tr>
      <w:tr>
        <w:tc>
          <w:tcPr>
            <w:tcW w:type="dxa" w:w="4824"/>
          </w:tcPr>
          <w:p>
            <w:r/>
            <w:r>
              <w:rPr>
                <w:b w:val="0"/>
                <w:sz w:val="18"/>
              </w:rPr>
              <w:t>Impacted tooth</w:t>
            </w:r>
          </w:p>
        </w:tc>
        <w:tc>
          <w:tcPr>
            <w:tcW w:type="dxa" w:w="4824"/>
          </w:tcPr>
          <w:p>
            <w:r/>
            <w:r>
              <w:rPr>
                <w:b w:val="0"/>
                <w:sz w:val="18"/>
              </w:rPr>
              <w:t>A tooth that has not grown into its normal position, most often a wisdom tooth.</w:t>
            </w:r>
          </w:p>
        </w:tc>
      </w:tr>
      <w:tr>
        <w:tc>
          <w:tcPr>
            <w:tcW w:type="dxa" w:w="4824"/>
            <w:shd w:val="clear" w:color="auto" w:fill="F2F6FA"/>
          </w:tcPr>
          <w:p>
            <w:r/>
            <w:r>
              <w:rPr>
                <w:b w:val="0"/>
                <w:sz w:val="18"/>
              </w:rPr>
              <w:t>Caries</w:t>
            </w:r>
          </w:p>
        </w:tc>
        <w:tc>
          <w:tcPr>
            <w:tcW w:type="dxa" w:w="4824"/>
            <w:shd w:val="clear" w:color="auto" w:fill="F2F6FA"/>
          </w:tcPr>
          <w:p>
            <w:r/>
            <w:r>
              <w:rPr>
                <w:b w:val="0"/>
                <w:sz w:val="18"/>
              </w:rPr>
              <w:t>Tooth decay in the outer layers of the tooth.</w:t>
            </w:r>
          </w:p>
        </w:tc>
      </w:tr>
      <w:tr>
        <w:tc>
          <w:tcPr>
            <w:tcW w:type="dxa" w:w="4824"/>
          </w:tcPr>
          <w:p>
            <w:r/>
            <w:r>
              <w:rPr>
                <w:b w:val="0"/>
                <w:sz w:val="18"/>
              </w:rPr>
              <w:t>Deep caries</w:t>
            </w:r>
          </w:p>
        </w:tc>
        <w:tc>
          <w:tcPr>
            <w:tcW w:type="dxa" w:w="4824"/>
          </w:tcPr>
          <w:p>
            <w:r/>
            <w:r>
              <w:rPr>
                <w:b w:val="0"/>
                <w:sz w:val="18"/>
              </w:rPr>
              <w:t>Decay that reaches close to the nerve; usually needs a root canal or extraction.</w:t>
            </w:r>
          </w:p>
        </w:tc>
      </w:tr>
      <w:tr>
        <w:tc>
          <w:tcPr>
            <w:tcW w:type="dxa" w:w="4824"/>
            <w:shd w:val="clear" w:color="auto" w:fill="F2F6FA"/>
          </w:tcPr>
          <w:p>
            <w:r/>
            <w:r>
              <w:rPr>
                <w:b w:val="0"/>
                <w:sz w:val="18"/>
              </w:rPr>
              <w:t>Periapical lesion</w:t>
            </w:r>
          </w:p>
        </w:tc>
        <w:tc>
          <w:tcPr>
            <w:tcW w:type="dxa" w:w="4824"/>
            <w:shd w:val="clear" w:color="auto" w:fill="F2F6FA"/>
          </w:tcPr>
          <w:p>
            <w:r/>
            <w:r>
              <w:rPr>
                <w:b w:val="0"/>
                <w:sz w:val="18"/>
              </w:rPr>
              <w:t>A dark area at the tip of the root, typically a sign of infection.</w:t>
            </w:r>
          </w:p>
        </w:tc>
      </w:tr>
    </w:tbl>
    <w:p/>
    <w:p>
      <w:pPr>
        <w:pStyle w:val="Heading2"/>
      </w:pPr>
      <w:r>
        <w:t>How the data was used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r/>
            <w:r>
              <w:rPr>
                <w:b/>
                <w:color w:val="FFFFFF"/>
                <w:sz w:val="18"/>
              </w:rPr>
              <w:t>Split</w:t>
            </w:r>
          </w:p>
        </w:tc>
        <w:tc>
          <w:tcPr>
            <w:tcW w:type="dxa" w:w="1608"/>
            <w:shd w:val="clear" w:color="auto" w:fill="1F4E79"/>
          </w:tcPr>
          <w:p>
            <w:r/>
            <w:r>
              <w:rPr>
                <w:b/>
                <w:color w:val="FFFFFF"/>
                <w:sz w:val="18"/>
              </w:rPr>
              <w:t>X-rays</w:t>
            </w:r>
          </w:p>
        </w:tc>
        <w:tc>
          <w:tcPr>
            <w:tcW w:type="dxa" w:w="1608"/>
            <w:shd w:val="clear" w:color="auto" w:fill="1F4E79"/>
          </w:tcPr>
          <w:p>
            <w:r/>
            <w:r>
              <w:rPr>
                <w:b/>
                <w:color w:val="FFFFFF"/>
                <w:sz w:val="18"/>
              </w:rPr>
              <w:t>Impacted</w:t>
            </w:r>
          </w:p>
        </w:tc>
        <w:tc>
          <w:tcPr>
            <w:tcW w:type="dxa" w:w="1608"/>
            <w:shd w:val="clear" w:color="auto" w:fill="1F4E79"/>
          </w:tcPr>
          <w:p>
            <w:r/>
            <w:r>
              <w:rPr>
                <w:b/>
                <w:color w:val="FFFFFF"/>
                <w:sz w:val="18"/>
              </w:rPr>
              <w:t>Caries</w:t>
            </w:r>
          </w:p>
        </w:tc>
        <w:tc>
          <w:tcPr>
            <w:tcW w:type="dxa" w:w="1608"/>
            <w:shd w:val="clear" w:color="auto" w:fill="1F4E79"/>
          </w:tcPr>
          <w:p>
            <w:r/>
            <w:r>
              <w:rPr>
                <w:b/>
                <w:color w:val="FFFFFF"/>
                <w:sz w:val="18"/>
              </w:rPr>
              <w:t>Periapical Lesion</w:t>
            </w:r>
          </w:p>
        </w:tc>
        <w:tc>
          <w:tcPr>
            <w:tcW w:type="dxa" w:w="1608"/>
            <w:shd w:val="clear" w:color="auto" w:fill="1F4E79"/>
          </w:tcPr>
          <w:p>
            <w:r/>
            <w:r>
              <w:rPr>
                <w:b/>
                <w:color w:val="FFFFFF"/>
                <w:sz w:val="18"/>
              </w:rPr>
              <w:t>Deep Caries</w:t>
            </w:r>
          </w:p>
        </w:tc>
      </w:tr>
      <w:tr>
        <w:tc>
          <w:tcPr>
            <w:tcW w:type="dxa" w:w="1608"/>
          </w:tcPr>
          <w:p>
            <w:r/>
            <w:r>
              <w:rPr>
                <w:b w:val="0"/>
                <w:sz w:val="18"/>
              </w:rPr>
              <w:t>Training</w:t>
            </w:r>
          </w:p>
        </w:tc>
        <w:tc>
          <w:tcPr>
            <w:tcW w:type="dxa" w:w="1608"/>
          </w:tcPr>
          <w:p>
            <w:pPr>
              <w:jc w:val="right"/>
            </w:pPr>
            <w:r/>
            <w:r>
              <w:rPr>
                <w:b w:val="0"/>
                <w:sz w:val="18"/>
              </w:rPr>
              <w:t>605</w:t>
            </w:r>
          </w:p>
        </w:tc>
        <w:tc>
          <w:tcPr>
            <w:tcW w:type="dxa" w:w="1608"/>
          </w:tcPr>
          <w:p>
            <w:pPr>
              <w:jc w:val="right"/>
            </w:pPr>
            <w:r/>
            <w:r>
              <w:rPr>
                <w:b w:val="0"/>
                <w:sz w:val="18"/>
              </w:rPr>
              <w:t>517</w:t>
            </w:r>
          </w:p>
        </w:tc>
        <w:tc>
          <w:tcPr>
            <w:tcW w:type="dxa" w:w="1608"/>
          </w:tcPr>
          <w:p>
            <w:pPr>
              <w:jc w:val="right"/>
            </w:pPr>
            <w:r/>
            <w:r>
              <w:rPr>
                <w:b w:val="0"/>
                <w:sz w:val="18"/>
              </w:rPr>
              <w:t>1860</w:t>
            </w:r>
          </w:p>
        </w:tc>
        <w:tc>
          <w:tcPr>
            <w:tcW w:type="dxa" w:w="1608"/>
          </w:tcPr>
          <w:p>
            <w:pPr>
              <w:jc w:val="right"/>
            </w:pPr>
            <w:r/>
            <w:r>
              <w:rPr>
                <w:b w:val="0"/>
                <w:sz w:val="18"/>
              </w:rPr>
              <w:t>134</w:t>
            </w:r>
          </w:p>
        </w:tc>
        <w:tc>
          <w:tcPr>
            <w:tcW w:type="dxa" w:w="1608"/>
          </w:tcPr>
          <w:p>
            <w:pPr>
              <w:jc w:val="right"/>
            </w:pPr>
            <w:r/>
            <w:r>
              <w:rPr>
                <w:b w:val="0"/>
                <w:sz w:val="18"/>
              </w:rPr>
              <w:t>491</w:t>
            </w:r>
          </w:p>
        </w:tc>
      </w:tr>
      <w:tr>
        <w:tc>
          <w:tcPr>
            <w:tcW w:type="dxa" w:w="1608"/>
            <w:shd w:val="clear" w:color="auto" w:fill="F2F6FA"/>
          </w:tcPr>
          <w:p>
            <w:r/>
            <w:r>
              <w:rPr>
                <w:b w:val="0"/>
                <w:sz w:val="18"/>
              </w:rPr>
              <w:t>Calibration (held out)</w:t>
            </w:r>
          </w:p>
        </w:tc>
        <w:tc>
          <w:tcPr>
            <w:tcW w:type="dxa" w:w="1608"/>
            <w:shd w:val="clear" w:color="auto" w:fill="F2F6FA"/>
          </w:tcPr>
          <w:p>
            <w:pPr>
              <w:jc w:val="right"/>
            </w:pPr>
            <w:r/>
            <w:r>
              <w:rPr>
                <w:b w:val="0"/>
                <w:sz w:val="18"/>
              </w:rPr>
              <w:t>100</w:t>
            </w:r>
          </w:p>
        </w:tc>
        <w:tc>
          <w:tcPr>
            <w:tcW w:type="dxa" w:w="1608"/>
            <w:shd w:val="clear" w:color="auto" w:fill="F2F6FA"/>
          </w:tcPr>
          <w:p>
            <w:pPr>
              <w:jc w:val="right"/>
            </w:pPr>
            <w:r/>
            <w:r>
              <w:rPr>
                <w:b w:val="0"/>
                <w:sz w:val="18"/>
              </w:rPr>
              <w:t>87</w:t>
            </w:r>
          </w:p>
        </w:tc>
        <w:tc>
          <w:tcPr>
            <w:tcW w:type="dxa" w:w="1608"/>
            <w:shd w:val="clear" w:color="auto" w:fill="F2F6FA"/>
          </w:tcPr>
          <w:p>
            <w:pPr>
              <w:jc w:val="right"/>
            </w:pPr>
            <w:r/>
            <w:r>
              <w:rPr>
                <w:b w:val="0"/>
                <w:sz w:val="18"/>
              </w:rPr>
              <w:t>329</w:t>
            </w:r>
          </w:p>
        </w:tc>
        <w:tc>
          <w:tcPr>
            <w:tcW w:type="dxa" w:w="1608"/>
            <w:shd w:val="clear" w:color="auto" w:fill="F2F6FA"/>
          </w:tcPr>
          <w:p>
            <w:pPr>
              <w:jc w:val="right"/>
            </w:pPr>
            <w:r/>
            <w:r>
              <w:rPr>
                <w:b w:val="0"/>
                <w:sz w:val="18"/>
              </w:rPr>
              <w:t>24</w:t>
            </w:r>
          </w:p>
        </w:tc>
        <w:tc>
          <w:tcPr>
            <w:tcW w:type="dxa" w:w="1608"/>
            <w:shd w:val="clear" w:color="auto" w:fill="F2F6FA"/>
          </w:tcPr>
          <w:p>
            <w:pPr>
              <w:jc w:val="right"/>
            </w:pPr>
            <w:r/>
            <w:r>
              <w:rPr>
                <w:b w:val="0"/>
                <w:sz w:val="18"/>
              </w:rPr>
              <w:t>87</w:t>
            </w:r>
          </w:p>
        </w:tc>
      </w:tr>
      <w:tr>
        <w:tc>
          <w:tcPr>
            <w:tcW w:type="dxa" w:w="1608"/>
          </w:tcPr>
          <w:p>
            <w:r/>
            <w:r>
              <w:rPr>
                <w:b w:val="0"/>
                <w:sz w:val="18"/>
              </w:rPr>
              <w:t>Validation</w:t>
            </w:r>
          </w:p>
        </w:tc>
        <w:tc>
          <w:tcPr>
            <w:tcW w:type="dxa" w:w="1608"/>
          </w:tcPr>
          <w:p>
            <w:pPr>
              <w:jc w:val="right"/>
            </w:pPr>
            <w:r/>
            <w:r>
              <w:rPr>
                <w:b w:val="0"/>
                <w:sz w:val="18"/>
              </w:rPr>
              <w:t>50</w:t>
            </w:r>
          </w:p>
        </w:tc>
        <w:tc>
          <w:tcPr>
            <w:tcW w:type="dxa" w:w="1608"/>
          </w:tcPr>
          <w:p>
            <w:pPr>
              <w:jc w:val="right"/>
            </w:pPr>
            <w:r/>
            <w:r>
              <w:rPr>
                <w:b w:val="0"/>
                <w:sz w:val="18"/>
              </w:rPr>
              <w:t>40</w:t>
            </w:r>
          </w:p>
        </w:tc>
        <w:tc>
          <w:tcPr>
            <w:tcW w:type="dxa" w:w="1608"/>
          </w:tcPr>
          <w:p>
            <w:pPr>
              <w:jc w:val="right"/>
            </w:pPr>
            <w:r/>
            <w:r>
              <w:rPr>
                <w:b w:val="0"/>
                <w:sz w:val="18"/>
              </w:rPr>
              <w:t>101</w:t>
            </w:r>
          </w:p>
        </w:tc>
        <w:tc>
          <w:tcPr>
            <w:tcW w:type="dxa" w:w="1608"/>
          </w:tcPr>
          <w:p>
            <w:pPr>
              <w:jc w:val="right"/>
            </w:pPr>
            <w:r/>
            <w:r>
              <w:rPr>
                <w:b w:val="0"/>
                <w:sz w:val="18"/>
              </w:rPr>
              <w:t>9</w:t>
            </w:r>
          </w:p>
        </w:tc>
        <w:tc>
          <w:tcPr>
            <w:tcW w:type="dxa" w:w="1608"/>
          </w:tcPr>
          <w:p>
            <w:pPr>
              <w:jc w:val="right"/>
            </w:pPr>
            <w:r/>
            <w:r>
              <w:rPr>
                <w:b w:val="0"/>
                <w:sz w:val="18"/>
              </w:rPr>
              <w:t>32</w:t>
            </w:r>
          </w:p>
        </w:tc>
      </w:tr>
      <w:tr>
        <w:tc>
          <w:tcPr>
            <w:tcW w:type="dxa" w:w="1608"/>
            <w:shd w:val="clear" w:color="auto" w:fill="F2F6FA"/>
          </w:tcPr>
          <w:p>
            <w:r/>
            <w:r>
              <w:rPr>
                <w:b w:val="0"/>
                <w:sz w:val="18"/>
              </w:rPr>
              <w:t>Test</w:t>
            </w:r>
          </w:p>
        </w:tc>
        <w:tc>
          <w:tcPr>
            <w:tcW w:type="dxa" w:w="1608"/>
            <w:shd w:val="clear" w:color="auto" w:fill="F2F6FA"/>
          </w:tcPr>
          <w:p>
            <w:pPr>
              <w:jc w:val="right"/>
            </w:pPr>
            <w:r/>
            <w:r>
              <w:rPr>
                <w:b w:val="0"/>
                <w:sz w:val="18"/>
              </w:rPr>
              <w:t>250</w:t>
            </w:r>
          </w:p>
        </w:tc>
        <w:tc>
          <w:tcPr>
            <w:tcW w:type="dxa" w:w="1608"/>
            <w:shd w:val="clear" w:color="auto" w:fill="F2F6FA"/>
          </w:tcPr>
          <w:p>
            <w:pPr>
              <w:jc w:val="right"/>
            </w:pPr>
            <w:r/>
            <w:r>
              <w:rPr>
                <w:b w:val="0"/>
                <w:sz w:val="18"/>
              </w:rPr>
              <w:t>221</w:t>
            </w:r>
          </w:p>
        </w:tc>
        <w:tc>
          <w:tcPr>
            <w:tcW w:type="dxa" w:w="1608"/>
            <w:shd w:val="clear" w:color="auto" w:fill="F2F6FA"/>
          </w:tcPr>
          <w:p>
            <w:pPr>
              <w:jc w:val="right"/>
            </w:pPr>
            <w:r/>
            <w:r>
              <w:rPr>
                <w:b w:val="0"/>
                <w:sz w:val="18"/>
              </w:rPr>
              <w:t>747</w:t>
            </w:r>
          </w:p>
        </w:tc>
        <w:tc>
          <w:tcPr>
            <w:tcW w:type="dxa" w:w="1608"/>
            <w:shd w:val="clear" w:color="auto" w:fill="F2F6FA"/>
          </w:tcPr>
          <w:p>
            <w:pPr>
              <w:jc w:val="right"/>
            </w:pPr>
            <w:r/>
            <w:r>
              <w:rPr>
                <w:b w:val="0"/>
                <w:sz w:val="18"/>
              </w:rPr>
              <w:t>75</w:t>
            </w:r>
          </w:p>
        </w:tc>
        <w:tc>
          <w:tcPr>
            <w:tcW w:type="dxa" w:w="1608"/>
            <w:shd w:val="clear" w:color="auto" w:fill="F2F6FA"/>
          </w:tcPr>
          <w:p>
            <w:pPr>
              <w:jc w:val="right"/>
            </w:pPr>
            <w:r/>
            <w:r>
              <w:rPr>
                <w:b w:val="0"/>
                <w:sz w:val="18"/>
              </w:rPr>
              <w:t>190</w:t>
            </w:r>
          </w:p>
        </w:tc>
      </w:tr>
    </w:tbl>
    <w:p/>
    <w:p>
      <w:pPr>
        <w:pStyle w:val="ListBullet"/>
      </w:pPr>
      <w:r>
        <w:t>The 705 official training X-rays were split into 605 for training and 100 kept aside to tune the trust layer, so it is never tuned on images the model learned from.</w:t>
      </w:r>
    </w:p>
    <w:p>
      <w:pPr>
        <w:pStyle w:val="ListBullet"/>
      </w:pPr>
      <w:r>
        <w:t>The official 50 validation and 250 test X-rays were used for model selection and final results.</w:t>
      </w:r>
    </w:p>
    <w:p>
      <w:pPr>
        <w:pStyle w:val="ListBullet"/>
      </w:pPr>
      <w:r>
        <w:t>Caries is by far the most common finding and periapical lesions the rarest, which makes lesions the hardest to learn.</w:t>
      </w:r>
    </w:p>
    <w:p>
      <w:pPr>
        <w:pStyle w:val="ListBullet"/>
      </w:pPr>
      <w:r>
        <w:t>Images are large (about 2,900 × 1,300 pixels) while many problems cover only a small part of the image.</w:t>
      </w:r>
    </w:p>
    <w:p>
      <w:r>
        <w:rPr>
          <w:b/>
        </w:rPr>
        <w:t xml:space="preserve">Note on the test set. </w:t>
      </w:r>
      <w:r>
        <w:t>The released test labels use Turkish treatment codes (for example "root canal" or "extraction") rather than the four diagnoses. They were translated into diagnoses using a data-driven check, and the validation set, which uses the original labels, is treated as the clean benchmark.</w:t>
      </w:r>
    </w:p>
    <w:p>
      <w:pPr>
        <w:pStyle w:val="Heading1"/>
      </w:pPr>
      <w:r>
        <w:t>3. Results</w:t>
      </w:r>
    </w:p>
    <w:p>
      <w:pPr>
        <w:pStyle w:val="Heading2"/>
      </w:pPr>
      <w:r>
        <w:t>How accurate is the model?</w:t>
      </w:r>
    </w:p>
    <w:p>
      <w:r>
        <w:t>AP50 is the standard detection score (0 to 1, higher is better). It rewards finding each problem with a box that overlaps the true one by at least half. Precision is the share of predicted findings that are correct; recall is the share of real problems that were found.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4E79"/>
          </w:tcPr>
          <w:p>
            <w:r/>
            <w:r>
              <w:rPr>
                <w:b/>
                <w:color w:val="FFFFFF"/>
                <w:sz w:val="18"/>
              </w:rPr>
              <w:t>Diagnosis</w:t>
            </w:r>
          </w:p>
        </w:tc>
        <w:tc>
          <w:tcPr>
            <w:tcW w:type="dxa" w:w="1930"/>
            <w:shd w:val="clear" w:color="auto" w:fill="1F4E79"/>
          </w:tcPr>
          <w:p>
            <w:r/>
            <w:r>
              <w:rPr>
                <w:b/>
                <w:color w:val="FFFFFF"/>
                <w:sz w:val="18"/>
              </w:rPr>
              <w:t>AP50 validation</w:t>
            </w:r>
          </w:p>
        </w:tc>
        <w:tc>
          <w:tcPr>
            <w:tcW w:type="dxa" w:w="1930"/>
            <w:shd w:val="clear" w:color="auto" w:fill="1F4E79"/>
          </w:tcPr>
          <w:p>
            <w:r/>
            <w:r>
              <w:rPr>
                <w:b/>
                <w:color w:val="FFFFFF"/>
                <w:sz w:val="18"/>
              </w:rPr>
              <w:t>AP50 test</w:t>
            </w:r>
          </w:p>
        </w:tc>
        <w:tc>
          <w:tcPr>
            <w:tcW w:type="dxa" w:w="1930"/>
            <w:shd w:val="clear" w:color="auto" w:fill="1F4E79"/>
          </w:tcPr>
          <w:p>
            <w:r/>
            <w:r>
              <w:rPr>
                <w:b/>
                <w:color w:val="FFFFFF"/>
                <w:sz w:val="18"/>
              </w:rPr>
              <w:t>Precision (test)</w:t>
            </w:r>
          </w:p>
        </w:tc>
        <w:tc>
          <w:tcPr>
            <w:tcW w:type="dxa" w:w="1930"/>
            <w:shd w:val="clear" w:color="auto" w:fill="1F4E79"/>
          </w:tcPr>
          <w:p>
            <w:r/>
            <w:r>
              <w:rPr>
                <w:b/>
                <w:color w:val="FFFFFF"/>
                <w:sz w:val="18"/>
              </w:rPr>
              <w:t>Recall (test)</w:t>
            </w:r>
          </w:p>
        </w:tc>
      </w:tr>
      <w:tr>
        <w:tc>
          <w:tcPr>
            <w:tcW w:type="dxa" w:w="1930"/>
          </w:tcPr>
          <w:p>
            <w:r/>
            <w:r>
              <w:rPr>
                <w:b w:val="0"/>
                <w:sz w:val="18"/>
              </w:rPr>
              <w:t>Impacted</w:t>
            </w:r>
          </w:p>
        </w:tc>
        <w:tc>
          <w:tcPr>
            <w:tcW w:type="dxa" w:w="1930"/>
          </w:tcPr>
          <w:p>
            <w:pPr>
              <w:jc w:val="right"/>
            </w:pPr>
            <w:r/>
            <w:r>
              <w:rPr>
                <w:b w:val="0"/>
                <w:sz w:val="18"/>
              </w:rPr>
              <w:t>0.897</w:t>
            </w:r>
          </w:p>
        </w:tc>
        <w:tc>
          <w:tcPr>
            <w:tcW w:type="dxa" w:w="1930"/>
          </w:tcPr>
          <w:p>
            <w:pPr>
              <w:jc w:val="right"/>
            </w:pPr>
            <w:r/>
            <w:r>
              <w:rPr>
                <w:b w:val="0"/>
                <w:sz w:val="18"/>
              </w:rPr>
              <w:t>0.932</w:t>
            </w:r>
          </w:p>
        </w:tc>
        <w:tc>
          <w:tcPr>
            <w:tcW w:type="dxa" w:w="1930"/>
          </w:tcPr>
          <w:p>
            <w:pPr>
              <w:jc w:val="right"/>
            </w:pPr>
            <w:r/>
            <w:r>
              <w:rPr>
                <w:b w:val="0"/>
                <w:sz w:val="18"/>
              </w:rPr>
              <w:t>85.3%</w:t>
            </w:r>
          </w:p>
        </w:tc>
        <w:tc>
          <w:tcPr>
            <w:tcW w:type="dxa" w:w="1930"/>
          </w:tcPr>
          <w:p>
            <w:pPr>
              <w:jc w:val="right"/>
            </w:pPr>
            <w:r/>
            <w:r>
              <w:rPr>
                <w:b w:val="0"/>
                <w:sz w:val="18"/>
              </w:rPr>
              <w:t>92.8%</w:t>
            </w:r>
          </w:p>
        </w:tc>
      </w:tr>
      <w:tr>
        <w:tc>
          <w:tcPr>
            <w:tcW w:type="dxa" w:w="1930"/>
            <w:shd w:val="clear" w:color="auto" w:fill="F2F6FA"/>
          </w:tcPr>
          <w:p>
            <w:r/>
            <w:r>
              <w:rPr>
                <w:b w:val="0"/>
                <w:sz w:val="18"/>
              </w:rPr>
              <w:t>Caries</w:t>
            </w:r>
          </w:p>
        </w:tc>
        <w:tc>
          <w:tcPr>
            <w:tcW w:type="dxa" w:w="1930"/>
            <w:shd w:val="clear" w:color="auto" w:fill="F2F6FA"/>
          </w:tcPr>
          <w:p>
            <w:pPr>
              <w:jc w:val="right"/>
            </w:pPr>
            <w:r/>
            <w:r>
              <w:rPr>
                <w:b w:val="0"/>
                <w:sz w:val="18"/>
              </w:rPr>
              <w:t>0.449</w:t>
            </w:r>
          </w:p>
        </w:tc>
        <w:tc>
          <w:tcPr>
            <w:tcW w:type="dxa" w:w="1930"/>
            <w:shd w:val="clear" w:color="auto" w:fill="F2F6FA"/>
          </w:tcPr>
          <w:p>
            <w:pPr>
              <w:jc w:val="right"/>
            </w:pPr>
            <w:r/>
            <w:r>
              <w:rPr>
                <w:b w:val="0"/>
                <w:sz w:val="18"/>
              </w:rPr>
              <w:t>0.482</w:t>
            </w:r>
          </w:p>
        </w:tc>
        <w:tc>
          <w:tcPr>
            <w:tcW w:type="dxa" w:w="1930"/>
            <w:shd w:val="clear" w:color="auto" w:fill="F2F6FA"/>
          </w:tcPr>
          <w:p>
            <w:pPr>
              <w:jc w:val="right"/>
            </w:pPr>
            <w:r/>
            <w:r>
              <w:rPr>
                <w:b w:val="0"/>
                <w:sz w:val="18"/>
              </w:rPr>
              <w:t>49.7%</w:t>
            </w:r>
          </w:p>
        </w:tc>
        <w:tc>
          <w:tcPr>
            <w:tcW w:type="dxa" w:w="1930"/>
            <w:shd w:val="clear" w:color="auto" w:fill="F2F6FA"/>
          </w:tcPr>
          <w:p>
            <w:pPr>
              <w:jc w:val="right"/>
            </w:pPr>
            <w:r/>
            <w:r>
              <w:rPr>
                <w:b w:val="0"/>
                <w:sz w:val="18"/>
              </w:rPr>
              <w:t>42.7%</w:t>
            </w:r>
          </w:p>
        </w:tc>
      </w:tr>
      <w:tr>
        <w:tc>
          <w:tcPr>
            <w:tcW w:type="dxa" w:w="1930"/>
          </w:tcPr>
          <w:p>
            <w:r/>
            <w:r>
              <w:rPr>
                <w:b w:val="0"/>
                <w:sz w:val="18"/>
              </w:rPr>
              <w:t>Periapical Lesion</w:t>
            </w:r>
          </w:p>
        </w:tc>
        <w:tc>
          <w:tcPr>
            <w:tcW w:type="dxa" w:w="1930"/>
          </w:tcPr>
          <w:p>
            <w:pPr>
              <w:jc w:val="right"/>
            </w:pPr>
            <w:r/>
            <w:r>
              <w:rPr>
                <w:b w:val="0"/>
                <w:sz w:val="18"/>
              </w:rPr>
              <w:t>0.491</w:t>
            </w:r>
          </w:p>
        </w:tc>
        <w:tc>
          <w:tcPr>
            <w:tcW w:type="dxa" w:w="1930"/>
          </w:tcPr>
          <w:p>
            <w:pPr>
              <w:jc w:val="right"/>
            </w:pPr>
            <w:r/>
            <w:r>
              <w:rPr>
                <w:b w:val="0"/>
                <w:sz w:val="18"/>
              </w:rPr>
              <w:t>0.431</w:t>
            </w:r>
          </w:p>
        </w:tc>
        <w:tc>
          <w:tcPr>
            <w:tcW w:type="dxa" w:w="1930"/>
          </w:tcPr>
          <w:p>
            <w:pPr>
              <w:jc w:val="right"/>
            </w:pPr>
            <w:r/>
            <w:r>
              <w:rPr>
                <w:b w:val="0"/>
                <w:sz w:val="18"/>
              </w:rPr>
              <w:t>56.7%</w:t>
            </w:r>
          </w:p>
        </w:tc>
        <w:tc>
          <w:tcPr>
            <w:tcW w:type="dxa" w:w="1930"/>
          </w:tcPr>
          <w:p>
            <w:pPr>
              <w:jc w:val="right"/>
            </w:pPr>
            <w:r/>
            <w:r>
              <w:rPr>
                <w:b w:val="0"/>
                <w:sz w:val="18"/>
              </w:rPr>
              <w:t>37.3%</w:t>
            </w:r>
          </w:p>
        </w:tc>
      </w:tr>
      <w:tr>
        <w:tc>
          <w:tcPr>
            <w:tcW w:type="dxa" w:w="1930"/>
            <w:shd w:val="clear" w:color="auto" w:fill="F2F6FA"/>
          </w:tcPr>
          <w:p>
            <w:r/>
            <w:r>
              <w:rPr>
                <w:b w:val="0"/>
                <w:sz w:val="18"/>
              </w:rPr>
              <w:t>Deep Caries</w:t>
            </w:r>
          </w:p>
        </w:tc>
        <w:tc>
          <w:tcPr>
            <w:tcW w:type="dxa" w:w="1930"/>
            <w:shd w:val="clear" w:color="auto" w:fill="F2F6FA"/>
          </w:tcPr>
          <w:p>
            <w:pPr>
              <w:jc w:val="right"/>
            </w:pPr>
            <w:r/>
            <w:r>
              <w:rPr>
                <w:b w:val="0"/>
                <w:sz w:val="18"/>
              </w:rPr>
              <w:t>0.640</w:t>
            </w:r>
          </w:p>
        </w:tc>
        <w:tc>
          <w:tcPr>
            <w:tcW w:type="dxa" w:w="1930"/>
            <w:shd w:val="clear" w:color="auto" w:fill="F2F6FA"/>
          </w:tcPr>
          <w:p>
            <w:pPr>
              <w:jc w:val="right"/>
            </w:pPr>
            <w:r/>
            <w:r>
              <w:rPr>
                <w:b w:val="0"/>
                <w:sz w:val="18"/>
              </w:rPr>
              <w:t>0.434</w:t>
            </w:r>
          </w:p>
        </w:tc>
        <w:tc>
          <w:tcPr>
            <w:tcW w:type="dxa" w:w="1930"/>
            <w:shd w:val="clear" w:color="auto" w:fill="F2F6FA"/>
          </w:tcPr>
          <w:p>
            <w:pPr>
              <w:jc w:val="right"/>
            </w:pPr>
            <w:r/>
            <w:r>
              <w:rPr>
                <w:b w:val="0"/>
                <w:sz w:val="18"/>
              </w:rPr>
              <w:t>49.1%</w:t>
            </w:r>
          </w:p>
        </w:tc>
        <w:tc>
          <w:tcPr>
            <w:tcW w:type="dxa" w:w="1930"/>
            <w:shd w:val="clear" w:color="auto" w:fill="F2F6FA"/>
          </w:tcPr>
          <w:p>
            <w:pPr>
              <w:jc w:val="right"/>
            </w:pPr>
            <w:r/>
            <w:r>
              <w:rPr>
                <w:b w:val="0"/>
                <w:sz w:val="18"/>
              </w:rPr>
              <w:t>53.2%</w:t>
            </w:r>
          </w:p>
        </w:tc>
      </w:tr>
      <w:tr>
        <w:tc>
          <w:tcPr>
            <w:tcW w:type="dxa" w:w="1930"/>
          </w:tcPr>
          <w:p>
            <w:r/>
            <w:r>
              <w:rPr>
                <w:b/>
                <w:sz w:val="18"/>
              </w:rPr>
              <w:t>All four</w:t>
            </w:r>
          </w:p>
        </w:tc>
        <w:tc>
          <w:tcPr>
            <w:tcW w:type="dxa" w:w="1930"/>
          </w:tcPr>
          <w:p>
            <w:pPr>
              <w:jc w:val="right"/>
            </w:pPr>
            <w:r/>
            <w:r>
              <w:rPr>
                <w:b/>
                <w:sz w:val="18"/>
              </w:rPr>
              <w:t>0.619</w:t>
            </w:r>
          </w:p>
        </w:tc>
        <w:tc>
          <w:tcPr>
            <w:tcW w:type="dxa" w:w="1930"/>
          </w:tcPr>
          <w:p>
            <w:pPr>
              <w:jc w:val="right"/>
            </w:pPr>
            <w:r/>
            <w:r>
              <w:rPr>
                <w:b/>
                <w:sz w:val="18"/>
              </w:rPr>
              <w:t>0.569</w:t>
            </w:r>
          </w:p>
        </w:tc>
        <w:tc>
          <w:tcPr>
            <w:tcW w:type="dxa" w:w="1930"/>
          </w:tcPr>
          <w:p>
            <w:pPr>
              <w:jc w:val="right"/>
            </w:pPr>
            <w:r/>
            <w:r>
              <w:rPr>
                <w:b/>
                <w:sz w:val="18"/>
              </w:rPr>
              <w:t>60.2%</w:t>
            </w:r>
          </w:p>
        </w:tc>
        <w:tc>
          <w:tcPr>
            <w:tcW w:type="dxa" w:w="1930"/>
          </w:tcPr>
          <w:p>
            <w:pPr>
              <w:jc w:val="right"/>
            </w:pPr>
            <w:r/>
            <w:r>
              <w:rPr>
                <w:b/>
                <w:sz w:val="18"/>
              </w:rPr>
              <w:t>56.5%</w:t>
            </w:r>
          </w:p>
        </w:tc>
      </w:tr>
    </w:tbl>
    <w:p/>
    <w:p>
      <w:pPr>
        <w:jc w:val="center"/>
      </w:pPr>
      <w:r>
        <w:drawing>
          <wp:inline xmlns:a="http://schemas.openxmlformats.org/drawingml/2006/main" xmlns:pic="http://schemas.openxmlformats.org/drawingml/2006/picture">
            <wp:extent cx="4572000" cy="4103316"/>
            <wp:docPr id="1" name="Picture 1"/>
            <wp:cNvGraphicFramePr>
              <a:graphicFrameLocks noChangeAspect="1"/>
            </wp:cNvGraphicFramePr>
            <a:graphic>
              <a:graphicData uri="http://schemas.openxmlformats.org/drawingml/2006/picture">
                <pic:pic>
                  <pic:nvPicPr>
                    <pic:cNvPr id="0" name="00_test_64.jpg"/>
                    <pic:cNvPicPr/>
                  </pic:nvPicPr>
                  <pic:blipFill>
                    <a:blip r:embed="rId9"/>
                    <a:stretch>
                      <a:fillRect/>
                    </a:stretch>
                  </pic:blipFill>
                  <pic:spPr>
                    <a:xfrm>
                      <a:off x="0" y="0"/>
                      <a:ext cx="4572000" cy="4103316"/>
                    </a:xfrm>
                    <a:prstGeom prst="rect"/>
                  </pic:spPr>
                </pic:pic>
              </a:graphicData>
            </a:graphic>
          </wp:inline>
        </w:drawing>
      </w:r>
    </w:p>
    <w:p>
      <w:pPr>
        <w:jc w:val="center"/>
      </w:pPr>
      <w:r>
        <w:rPr>
          <w:i/>
          <w:color w:val="52514E"/>
          <w:sz w:val="18"/>
        </w:rPr>
        <w:t>Example on an unseen X-ray. Top: dentist's annotation. Bottom: the model's finding (caries, 0.45) with its 90% error range shown as a thin outer box.</w:t>
      </w:r>
    </w:p>
    <w:p>
      <w:pPr>
        <w:pStyle w:val="Heading2"/>
      </w:pPr>
      <w:r>
        <w:t>How trustworthy are its confidence scores?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4E79"/>
          </w:tcPr>
          <w:p>
            <w:r/>
            <w:r>
              <w:rPr>
                <w:b/>
                <w:color w:val="FFFFFF"/>
                <w:sz w:val="18"/>
              </w:rPr>
              <w:t>Trust measure</w:t>
            </w:r>
          </w:p>
        </w:tc>
        <w:tc>
          <w:tcPr>
            <w:tcW w:type="dxa" w:w="4824"/>
            <w:shd w:val="clear" w:color="auto" w:fill="1F4E79"/>
          </w:tcPr>
          <w:p>
            <w:r/>
            <w:r>
              <w:rPr>
                <w:b/>
                <w:color w:val="FFFFFF"/>
                <w:sz w:val="18"/>
              </w:rPr>
              <w:t>Result</w:t>
            </w:r>
          </w:p>
        </w:tc>
      </w:tr>
      <w:tr>
        <w:tc>
          <w:tcPr>
            <w:tcW w:type="dxa" w:w="4824"/>
          </w:tcPr>
          <w:p>
            <w:r/>
            <w:r>
              <w:rPr>
                <w:b w:val="0"/>
                <w:sz w:val="18"/>
              </w:rPr>
              <w:t>Confidence scores match reality (calibration error, lower is better)</w:t>
            </w:r>
          </w:p>
        </w:tc>
        <w:tc>
          <w:tcPr>
            <w:tcW w:type="dxa" w:w="4824"/>
          </w:tcPr>
          <w:p>
            <w:pPr>
              <w:jc w:val="right"/>
            </w:pPr>
            <w:r/>
            <w:r>
              <w:rPr>
                <w:b w:val="0"/>
                <w:sz w:val="18"/>
              </w:rPr>
              <w:t>0.070 before → 0.037 after calibration</w:t>
            </w:r>
          </w:p>
        </w:tc>
      </w:tr>
      <w:tr>
        <w:tc>
          <w:tcPr>
            <w:tcW w:type="dxa" w:w="4824"/>
            <w:shd w:val="clear" w:color="auto" w:fill="F2F6FA"/>
          </w:tcPr>
          <w:p>
            <w:r/>
            <w:r>
              <w:rPr>
                <w:b w:val="0"/>
                <w:sz w:val="18"/>
              </w:rPr>
              <w:t>90% error range contains the true box: Impacted</w:t>
            </w:r>
          </w:p>
        </w:tc>
        <w:tc>
          <w:tcPr>
            <w:tcW w:type="dxa" w:w="4824"/>
            <w:shd w:val="clear" w:color="auto" w:fill="F2F6FA"/>
          </w:tcPr>
          <w:p>
            <w:pPr>
              <w:jc w:val="right"/>
            </w:pPr>
            <w:r/>
            <w:r>
              <w:rPr>
                <w:b w:val="0"/>
                <w:sz w:val="18"/>
              </w:rPr>
              <w:t>88.2%</w:t>
            </w:r>
          </w:p>
        </w:tc>
      </w:tr>
      <w:tr>
        <w:tc>
          <w:tcPr>
            <w:tcW w:type="dxa" w:w="4824"/>
          </w:tcPr>
          <w:p>
            <w:r/>
            <w:r>
              <w:rPr>
                <w:b w:val="0"/>
                <w:sz w:val="18"/>
              </w:rPr>
              <w:t>90% error range contains the true box: Caries</w:t>
            </w:r>
          </w:p>
        </w:tc>
        <w:tc>
          <w:tcPr>
            <w:tcW w:type="dxa" w:w="4824"/>
          </w:tcPr>
          <w:p>
            <w:pPr>
              <w:jc w:val="right"/>
            </w:pPr>
            <w:r/>
            <w:r>
              <w:rPr>
                <w:b w:val="0"/>
                <w:sz w:val="18"/>
              </w:rPr>
              <w:t>92.9%</w:t>
            </w:r>
          </w:p>
        </w:tc>
      </w:tr>
      <w:tr>
        <w:tc>
          <w:tcPr>
            <w:tcW w:type="dxa" w:w="4824"/>
            <w:shd w:val="clear" w:color="auto" w:fill="F2F6FA"/>
          </w:tcPr>
          <w:p>
            <w:r/>
            <w:r>
              <w:rPr>
                <w:b w:val="0"/>
                <w:sz w:val="18"/>
              </w:rPr>
              <w:t>90% error range contains the true box: Periapical Lesion</w:t>
            </w:r>
          </w:p>
        </w:tc>
        <w:tc>
          <w:tcPr>
            <w:tcW w:type="dxa" w:w="4824"/>
            <w:shd w:val="clear" w:color="auto" w:fill="F2F6FA"/>
          </w:tcPr>
          <w:p>
            <w:pPr>
              <w:jc w:val="right"/>
            </w:pPr>
            <w:r/>
            <w:r>
              <w:rPr>
                <w:b w:val="0"/>
                <w:sz w:val="18"/>
              </w:rPr>
              <w:t>100.0%</w:t>
            </w:r>
          </w:p>
        </w:tc>
      </w:tr>
      <w:tr>
        <w:tc>
          <w:tcPr>
            <w:tcW w:type="dxa" w:w="4824"/>
          </w:tcPr>
          <w:p>
            <w:r/>
            <w:r>
              <w:rPr>
                <w:b w:val="0"/>
                <w:sz w:val="18"/>
              </w:rPr>
              <w:t>90% error range contains the true box: Deep Caries</w:t>
            </w:r>
          </w:p>
        </w:tc>
        <w:tc>
          <w:tcPr>
            <w:tcW w:type="dxa" w:w="4824"/>
          </w:tcPr>
          <w:p>
            <w:pPr>
              <w:jc w:val="right"/>
            </w:pPr>
            <w:r/>
            <w:r>
              <w:rPr>
                <w:b w:val="0"/>
                <w:sz w:val="18"/>
              </w:rPr>
              <w:t>96.5%</w:t>
            </w:r>
          </w:p>
        </w:tc>
      </w:tr>
      <w:tr>
        <w:tc>
          <w:tcPr>
            <w:tcW w:type="dxa" w:w="4824"/>
            <w:shd w:val="clear" w:color="auto" w:fill="F2F6FA"/>
          </w:tcPr>
          <w:p>
            <w:r/>
            <w:r>
              <w:rPr>
                <w:b w:val="0"/>
                <w:sz w:val="18"/>
              </w:rPr>
              <w:t>Spotting wrong findings: single prediction (AUROC)</w:t>
            </w:r>
          </w:p>
        </w:tc>
        <w:tc>
          <w:tcPr>
            <w:tcW w:type="dxa" w:w="4824"/>
            <w:shd w:val="clear" w:color="auto" w:fill="F2F6FA"/>
          </w:tcPr>
          <w:p>
            <w:pPr>
              <w:jc w:val="right"/>
            </w:pPr>
            <w:r/>
            <w:r>
              <w:rPr>
                <w:b w:val="0"/>
                <w:sz w:val="18"/>
              </w:rPr>
              <w:t>0.767</w:t>
            </w:r>
          </w:p>
        </w:tc>
      </w:tr>
      <w:tr>
        <w:tc>
          <w:tcPr>
            <w:tcW w:type="dxa" w:w="4824"/>
          </w:tcPr>
          <w:p>
            <w:r/>
            <w:r>
              <w:rPr>
                <w:b w:val="0"/>
                <w:sz w:val="18"/>
              </w:rPr>
              <w:t>Spotting wrong findings: MC-dropout, 20 passes (AUROC)</w:t>
            </w:r>
          </w:p>
        </w:tc>
        <w:tc>
          <w:tcPr>
            <w:tcW w:type="dxa" w:w="4824"/>
          </w:tcPr>
          <w:p>
            <w:pPr>
              <w:jc w:val="right"/>
            </w:pPr>
            <w:r/>
            <w:r>
              <w:rPr>
                <w:b w:val="0"/>
                <w:sz w:val="18"/>
              </w:rPr>
              <w:t>0.818</w:t>
            </w:r>
          </w:p>
        </w:tc>
      </w:tr>
    </w:tbl>
    <w:p/>
    <w:p>
      <w:pPr>
        <w:jc w:val="center"/>
      </w:pPr>
      <w:r>
        <w:drawing>
          <wp:inline xmlns:a="http://schemas.openxmlformats.org/drawingml/2006/main" xmlns:pic="http://schemas.openxmlformats.org/drawingml/2006/picture">
            <wp:extent cx="3840480" cy="3397348"/>
            <wp:docPr id="2" name="Picture 2"/>
            <wp:cNvGraphicFramePr>
              <a:graphicFrameLocks noChangeAspect="1"/>
            </wp:cNvGraphicFramePr>
            <a:graphic>
              <a:graphicData uri="http://schemas.openxmlformats.org/drawingml/2006/picture">
                <pic:pic>
                  <pic:nvPicPr>
                    <pic:cNvPr id="0" name="reliability_diagram.png"/>
                    <pic:cNvPicPr/>
                  </pic:nvPicPr>
                  <pic:blipFill>
                    <a:blip r:embed="rId10"/>
                    <a:stretch>
                      <a:fillRect/>
                    </a:stretch>
                  </pic:blipFill>
                  <pic:spPr>
                    <a:xfrm>
                      <a:off x="0" y="0"/>
                      <a:ext cx="3840480" cy="3397348"/>
                    </a:xfrm>
                    <a:prstGeom prst="rect"/>
                  </pic:spPr>
                </pic:pic>
              </a:graphicData>
            </a:graphic>
          </wp:inline>
        </w:drawing>
      </w:r>
    </w:p>
    <w:p>
      <w:pPr>
        <w:jc w:val="center"/>
      </w:pPr>
      <w:r>
        <w:rPr>
          <w:i/>
          <w:color w:val="52514E"/>
          <w:sz w:val="18"/>
        </w:rPr>
        <w:t>Before calibration the model is over-confident at high scores; after calibration its confidence matches how often it is actually right.</w:t>
      </w:r>
    </w:p>
    <w:p>
      <w:pPr>
        <w:pStyle w:val="Heading1"/>
      </w:pPr>
      <w:r>
        <w:t>4. Key findings</w:t>
      </w:r>
    </w:p>
    <w:p>
      <w:pPr>
        <w:pStyle w:val="ListNumber"/>
      </w:pPr>
      <w:r>
        <w:rPr>
          <w:b/>
        </w:rPr>
        <w:t xml:space="preserve">Impacted teeth are reliably detected. </w:t>
      </w:r>
      <w:r>
        <w:t>AP50 0.932 with 92.8% of impacted teeth found on the test set. This is close to a solved problem.</w:t>
      </w:r>
    </w:p>
    <w:p>
      <w:pPr>
        <w:pStyle w:val="ListNumber"/>
      </w:pPr>
      <w:r>
        <w:rPr>
          <w:b/>
        </w:rPr>
        <w:t xml:space="preserve">Caries and deep caries are hard to tell apart. </w:t>
      </w:r>
      <w:r>
        <w:t>About a third of cases are confused in each direction, because they are two severity levels of the same disease.</w:t>
      </w:r>
    </w:p>
    <w:p>
      <w:pPr>
        <w:pStyle w:val="ListNumber"/>
      </w:pPr>
      <w:r>
        <w:rPr>
          <w:b/>
        </w:rPr>
        <w:t xml:space="preserve">Periapical lesions are the weakest class. </w:t>
      </w:r>
      <w:r>
        <w:t>They are rare in the data and have fuzzy edges; about one in five is missed entirely.</w:t>
      </w:r>
    </w:p>
    <w:p>
      <w:pPr>
        <w:pStyle w:val="ListNumber"/>
      </w:pPr>
      <w:r>
        <w:rPr>
          <w:b/>
        </w:rPr>
        <w:t xml:space="preserve">Calibration halves the confidence error. </w:t>
      </w:r>
      <w:r>
        <w:t>Calibration error drops from 0.070 to 0.037, so a score of 0.7 really means roughly 70%.</w:t>
      </w:r>
    </w:p>
    <w:p>
      <w:pPr>
        <w:pStyle w:val="ListNumber"/>
      </w:pPr>
      <w:r>
        <w:rPr>
          <w:b/>
        </w:rPr>
        <w:t xml:space="preserve">The error ranges keep their promise. </w:t>
      </w:r>
      <w:r>
        <w:t>The 90% conformal boxes contained the true lesion 88–100% of the time on the test set, as guaranteed.</w:t>
      </w:r>
    </w:p>
    <w:p>
      <w:pPr>
        <w:pStyle w:val="ListNumber"/>
      </w:pPr>
      <w:r>
        <w:rPr>
          <w:b/>
        </w:rPr>
        <w:t xml:space="preserve">Honest limits on sensitivity. </w:t>
      </w:r>
      <w:r>
        <w:t>The conformal analysis shows the model can promise "at most 10% missed" only for impacted teeth. For caries and lesions no threshold reaches 90% sensitivity, which a simple fixed cut-off would have hidden.</w:t>
      </w:r>
    </w:p>
    <w:p>
      <w:pPr>
        <w:pStyle w:val="ListNumber"/>
      </w:pPr>
      <w:r>
        <w:rPr>
          <w:b/>
        </w:rPr>
        <w:t xml:space="preserve">MC-dropout helps flag mistakes but costs accuracy. </w:t>
      </w:r>
      <w:r>
        <w:t>Asking the model 20 times spots wrong findings better (AUROC 0.818 vs 0.767), but lowers AP50 (0.496 vs 0.547). It works best as a "please review" flag.</w:t>
      </w:r>
    </w:p>
    <w:p>
      <w:pPr>
        <w:pStyle w:val="ListNumber"/>
      </w:pPr>
      <w:r>
        <w:rPr>
          <w:b/>
        </w:rPr>
        <w:t xml:space="preserve">The dataset needed checking. </w:t>
      </w:r>
      <w:r>
        <w:t>The official test labels did not match the stated diagnoses, and auditing them was essential for honest results.</w:t>
      </w:r>
    </w:p>
    <w:p>
      <w:pPr>
        <w:pStyle w:val="Heading1"/>
      </w:pPr>
      <w:r>
        <w:t>5. Limitations and next steps</w:t>
      </w:r>
    </w:p>
    <w:p>
      <w:pPr>
        <w:pStyle w:val="ListBullet"/>
      </w:pPr>
      <w:r>
        <w:t>Only 605 training X-rays; more data, especially lesions, would help most.</w:t>
      </w:r>
    </w:p>
    <w:p>
      <w:pPr>
        <w:pStyle w:val="ListBullet"/>
      </w:pPr>
      <w:r>
        <w:t>Higher-resolution or tooth-by-tooth analysis should raise sensitivity for small caries and lesions.</w:t>
      </w:r>
    </w:p>
    <w:p>
      <w:pPr>
        <w:pStyle w:val="ListBullet"/>
      </w:pPr>
      <w:r>
        <w:t>Predicting exact tooth numbers (not just the quadrant) would make findings easier to act on.</w:t>
      </w:r>
    </w:p>
    <w:p>
      <w:pPr>
        <w:pStyle w:val="ListBullet"/>
      </w:pPr>
      <w:r>
        <w:t>This is a research prototype, not a medical device, and must not be used for clinical decisions.</w:t>
      </w:r>
    </w:p>
    <w:p>
      <w:pPr>
        <w:pStyle w:val="Heading1"/>
      </w:pPr>
      <w:r>
        <w:t>6. Try it</w:t>
      </w:r>
    </w:p>
    <w:p>
      <w:pPr>
        <w:pStyle w:val="ListBullet"/>
      </w:pPr>
      <w:r>
        <w:rPr>
          <w:b/>
        </w:rPr>
        <w:t xml:space="preserve">Local web app: </w:t>
      </w:r>
      <w:r>
        <w:t>conda activate dentex, then python app/app.py, and open http://127.0.0.1:7860. Upload an X-ray (examples in data/yolo/images/test/).</w:t>
      </w:r>
    </w:p>
    <w:p>
      <w:pPr>
        <w:pStyle w:val="ListBullet"/>
      </w:pPr>
      <w:r>
        <w:rPr>
          <w:b/>
        </w:rPr>
        <w:t xml:space="preserve">Online: </w:t>
      </w:r>
      <w:r>
        <w:t>deploy the deploy/vercel folder to Vercel (set Root Directory to deploy/vercel).</w:t>
      </w:r>
    </w:p>
    <w:p>
      <w:pPr>
        <w:pStyle w:val="ListBullet"/>
      </w:pPr>
      <w:r>
        <w:rPr>
          <w:b/>
        </w:rPr>
        <w:t xml:space="preserve">Code and full technical report: </w:t>
      </w:r>
      <w:r>
        <w:t>github.com/MuhammadIshaq-AI/dentex-tooth-detection, docs/DENTEX_Project_Report.docx.</w:t>
      </w:r>
    </w:p>
    <w:p>
      <w:r>
        <w:rPr>
          <w:b/>
        </w:rPr>
        <w:t xml:space="preserve">Dataset and model credits: </w:t>
      </w:r>
      <w:r>
        <w:t>Hamamci, I. E. et al., DENTEX: An Abnormal Tooth Detection with Dental Enumeration and Diagnosis Benchmark for Panoramic X-rays, arXiv:2305.19112 (2023). Ultralytics YOLO26, docs.ultralytics.com.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