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7608" w14:textId="77777777" w:rsidR="00AE7AC0" w:rsidRPr="00AE7AC0" w:rsidRDefault="00AE7AC0" w:rsidP="00AE7AC0">
      <w:pPr>
        <w:jc w:val="both"/>
        <w:rPr>
          <w:rFonts w:asciiTheme="majorBidi" w:hAnsiTheme="majorBidi" w:cstheme="majorBidi"/>
        </w:rPr>
      </w:pPr>
      <w:r w:rsidRPr="00AE7AC0">
        <w:rPr>
          <w:rFonts w:asciiTheme="majorBidi" w:hAnsiTheme="majorBidi" w:cstheme="majorBidi"/>
        </w:rPr>
        <w:t>The paper is titled "Ensemble Approach for Sensor-Based Human Activity Recognition" and was written by Sunidhi Brajesh and Indraneel Ray from New York University. The paper discusses their ensemble-based approach to detect human activity for the Sussex-Huawei Locomotion-Transportation (SHL) recognition challenge.</w:t>
      </w:r>
    </w:p>
    <w:p w14:paraId="269BE667" w14:textId="77777777" w:rsidR="00AE7AC0" w:rsidRPr="00AE7AC0" w:rsidRDefault="00AE7AC0" w:rsidP="00AE7AC0">
      <w:pPr>
        <w:jc w:val="both"/>
        <w:rPr>
          <w:rFonts w:asciiTheme="majorBidi" w:hAnsiTheme="majorBidi" w:cstheme="majorBidi"/>
        </w:rPr>
      </w:pPr>
    </w:p>
    <w:p w14:paraId="45E2BA8F" w14:textId="77777777" w:rsidR="00AE7AC0" w:rsidRPr="00AE7AC0" w:rsidRDefault="00AE7AC0" w:rsidP="00AE7AC0">
      <w:pPr>
        <w:jc w:val="both"/>
        <w:rPr>
          <w:rFonts w:asciiTheme="majorBidi" w:hAnsiTheme="majorBidi" w:cstheme="majorBidi"/>
        </w:rPr>
      </w:pPr>
      <w:r w:rsidRPr="00AE7AC0">
        <w:rPr>
          <w:rFonts w:asciiTheme="majorBidi" w:hAnsiTheme="majorBidi" w:cstheme="majorBidi"/>
        </w:rPr>
        <w:t>The SHL recognition challenge is an open competition where participants are tasked with recognizing eight different types of activities based on smartphone data collected from multiple positions, including Hand, Hips, Torso, and Bag. The authors aimed to achieve position independence by calculating time and frequency domain features on the magnitude of sensor data.</w:t>
      </w:r>
    </w:p>
    <w:p w14:paraId="261BE22F" w14:textId="77777777" w:rsidR="00AE7AC0" w:rsidRPr="00AE7AC0" w:rsidRDefault="00AE7AC0" w:rsidP="00AE7AC0">
      <w:pPr>
        <w:jc w:val="both"/>
        <w:rPr>
          <w:rFonts w:asciiTheme="majorBidi" w:hAnsiTheme="majorBidi" w:cstheme="majorBidi"/>
        </w:rPr>
      </w:pPr>
    </w:p>
    <w:p w14:paraId="16C0DD93" w14:textId="77777777" w:rsidR="00AE7AC0" w:rsidRPr="00AE7AC0" w:rsidRDefault="00AE7AC0" w:rsidP="00AE7AC0">
      <w:pPr>
        <w:jc w:val="both"/>
        <w:rPr>
          <w:rFonts w:asciiTheme="majorBidi" w:hAnsiTheme="majorBidi" w:cstheme="majorBidi"/>
        </w:rPr>
      </w:pPr>
      <w:r w:rsidRPr="00AE7AC0">
        <w:rPr>
          <w:rFonts w:asciiTheme="majorBidi" w:hAnsiTheme="majorBidi" w:cstheme="majorBidi"/>
        </w:rPr>
        <w:t>To make the model robust, the authors trained it with a random shuffle of the training and validation data provided. They also used a randomized search to find the optimal hyperparameters, parallelizing the execution to evaluate approximately 200 models. The authors set aside 30% of the combined dataset for internal testing and achieved an F1-Score of 86% on this test dataset.</w:t>
      </w:r>
    </w:p>
    <w:p w14:paraId="0001023C" w14:textId="77777777" w:rsidR="00AE7AC0" w:rsidRPr="00AE7AC0" w:rsidRDefault="00AE7AC0" w:rsidP="00AE7AC0">
      <w:pPr>
        <w:jc w:val="both"/>
        <w:rPr>
          <w:rFonts w:asciiTheme="majorBidi" w:hAnsiTheme="majorBidi" w:cstheme="majorBidi"/>
        </w:rPr>
      </w:pPr>
    </w:p>
    <w:p w14:paraId="41BF6341" w14:textId="77777777" w:rsidR="00AE7AC0" w:rsidRPr="00AE7AC0" w:rsidRDefault="00AE7AC0" w:rsidP="00AE7AC0">
      <w:pPr>
        <w:jc w:val="both"/>
        <w:rPr>
          <w:rFonts w:asciiTheme="majorBidi" w:hAnsiTheme="majorBidi" w:cstheme="majorBidi"/>
        </w:rPr>
      </w:pPr>
      <w:r w:rsidRPr="00AE7AC0">
        <w:rPr>
          <w:rFonts w:asciiTheme="majorBidi" w:hAnsiTheme="majorBidi" w:cstheme="majorBidi"/>
        </w:rPr>
        <w:t>The paper discusses the dataset used, which is the SHL dataset containing labeled data from multiple users and smartphone positions. The authors describe their data preprocessing techniques, including handling missing values and feature engineering. They extracted statistical features in the time and frequency domains from sensor data to capture relevant information for activity recognition.</w:t>
      </w:r>
    </w:p>
    <w:p w14:paraId="664F9BF0" w14:textId="77777777" w:rsidR="00AE7AC0" w:rsidRPr="00AE7AC0" w:rsidRDefault="00AE7AC0" w:rsidP="00AE7AC0">
      <w:pPr>
        <w:jc w:val="both"/>
        <w:rPr>
          <w:rFonts w:asciiTheme="majorBidi" w:hAnsiTheme="majorBidi" w:cstheme="majorBidi"/>
        </w:rPr>
      </w:pPr>
    </w:p>
    <w:p w14:paraId="171E4066" w14:textId="77777777" w:rsidR="00AE7AC0" w:rsidRPr="00AE7AC0" w:rsidRDefault="00AE7AC0" w:rsidP="00AE7AC0">
      <w:pPr>
        <w:jc w:val="both"/>
        <w:rPr>
          <w:rFonts w:asciiTheme="majorBidi" w:hAnsiTheme="majorBidi" w:cstheme="majorBidi"/>
        </w:rPr>
      </w:pPr>
      <w:r w:rsidRPr="00AE7AC0">
        <w:rPr>
          <w:rFonts w:asciiTheme="majorBidi" w:hAnsiTheme="majorBidi" w:cstheme="majorBidi"/>
        </w:rPr>
        <w:t>The authors trained a random forest classification model using hyperparameters tuned through randomized grid search. They highlight the computational efficiency of random forests, making them suitable for real-world prediction tasks.</w:t>
      </w:r>
    </w:p>
    <w:p w14:paraId="7E994658" w14:textId="77777777" w:rsidR="00AE7AC0" w:rsidRPr="00AE7AC0" w:rsidRDefault="00AE7AC0" w:rsidP="00AE7AC0">
      <w:pPr>
        <w:jc w:val="both"/>
        <w:rPr>
          <w:rFonts w:asciiTheme="majorBidi" w:hAnsiTheme="majorBidi" w:cstheme="majorBidi"/>
        </w:rPr>
      </w:pPr>
    </w:p>
    <w:p w14:paraId="592C8E23" w14:textId="77777777" w:rsidR="00AE7AC0" w:rsidRPr="00AE7AC0" w:rsidRDefault="00AE7AC0" w:rsidP="00AE7AC0">
      <w:pPr>
        <w:jc w:val="both"/>
        <w:rPr>
          <w:rFonts w:asciiTheme="majorBidi" w:hAnsiTheme="majorBidi" w:cstheme="majorBidi"/>
        </w:rPr>
      </w:pPr>
      <w:r w:rsidRPr="00AE7AC0">
        <w:rPr>
          <w:rFonts w:asciiTheme="majorBidi" w:hAnsiTheme="majorBidi" w:cstheme="majorBidi"/>
        </w:rPr>
        <w:t>The paper is organized into sections that cover the introduction, SHL Recognition Challenge data, data preprocessing and feature engineering, the model used, techniques for improving model performance, experimental results, and conclusions. The authors conclude by reporting their findings and discussing future work.</w:t>
      </w:r>
    </w:p>
    <w:p w14:paraId="1D55AB69" w14:textId="77777777" w:rsidR="00AE7AC0" w:rsidRPr="00AE7AC0" w:rsidRDefault="00AE7AC0" w:rsidP="00AE7AC0">
      <w:pPr>
        <w:jc w:val="both"/>
        <w:rPr>
          <w:rFonts w:asciiTheme="majorBidi" w:hAnsiTheme="majorBidi" w:cstheme="majorBidi"/>
        </w:rPr>
      </w:pPr>
    </w:p>
    <w:p w14:paraId="1CCDEA21" w14:textId="7A9D94B0" w:rsidR="001729B3" w:rsidRPr="00AE7AC0" w:rsidRDefault="00AE7AC0" w:rsidP="00AE7AC0">
      <w:pPr>
        <w:jc w:val="both"/>
        <w:rPr>
          <w:rFonts w:asciiTheme="majorBidi" w:hAnsiTheme="majorBidi" w:cstheme="majorBidi"/>
        </w:rPr>
      </w:pPr>
      <w:r w:rsidRPr="00AE7AC0">
        <w:rPr>
          <w:rFonts w:asciiTheme="majorBidi" w:hAnsiTheme="majorBidi" w:cstheme="majorBidi"/>
        </w:rPr>
        <w:t>Please note that the rest of the content of the paper has been truncated and is not available.</w:t>
      </w:r>
    </w:p>
    <w:sectPr w:rsidR="001729B3" w:rsidRPr="00AE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08"/>
    <w:rsid w:val="001729B3"/>
    <w:rsid w:val="009B4D08"/>
    <w:rsid w:val="00AE7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F6D71-3F8A-45D4-8017-5F95F5BB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2023-08-16T06:35:00Z</dcterms:created>
  <dcterms:modified xsi:type="dcterms:W3CDTF">2023-08-16T06:35:00Z</dcterms:modified>
</cp:coreProperties>
</file>