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8"/>
          <w:sz w:val="44"/>
        </w:rPr>
        <w:t>Autonomous Weed Removal Robot (AWRR)</w:t>
        <w:br/>
        <w:t>Daily Technical Summary &amp; Comparative Benchmarks</w:t>
      </w:r>
    </w:p>
    <w:p>
      <w:pPr>
        <w:jc w:val="center"/>
      </w:pPr>
      <w:r>
        <w:rPr>
          <w:rFonts w:ascii="Calibri" w:hAnsi="Calibri"/>
          <w:i/>
          <w:color w:val="2E75B6"/>
          <w:sz w:val="22"/>
        </w:rPr>
        <w:t>Omnidirectional Mecanum Drive vs. Front-Wheel Ackermann Steering Benchmark (16m × 16m Arena, 9 Crop Rows)</w:t>
        <w:br/>
        <w:t>Workspace: C:\Users\User\Documents\git_abd | Date: August 25, 2026</w:t>
      </w:r>
    </w:p>
    <w:p/>
    <w:p>
      <w:pPr>
        <w:pStyle w:val="Heading1"/>
      </w:pPr>
      <w:r>
        <w:rPr>
          <w:color w:val="1F4E78"/>
        </w:rPr>
        <w:t>1. Workspace Consolidation &amp; Repository Setup</w:t>
      </w:r>
    </w:p>
    <w:p>
      <w:r>
        <w:t xml:space="preserve">To eliminate confusion caused by multiple duplicate project folders across Desktop and Documents, all codebase files, Webots simulations, kinematics models, research PDFs, and documentation were consolidated into a single unified directory: </w:t>
      </w:r>
      <w:r>
        <w:rPr>
          <w:b/>
        </w:rPr>
        <w:t>C:\Users\User\Documents\git_abd</w:t>
      </w:r>
      <w:r>
        <w:t>. The .gitignore UTF-16LE encoding conflict was resolved to standard UTF-8 without BOM to ensure clean Git operations.</w:t>
      </w:r>
    </w:p>
    <w:p>
      <w:pPr>
        <w:pStyle w:val="Heading1"/>
      </w:pPr>
      <w:r>
        <w:rPr>
          <w:color w:val="1F4E78"/>
        </w:rPr>
        <w:t>2. Kinematics Architecture: Ackermann vs. Mecanum Drive</w:t>
      </w:r>
    </w:p>
    <w:p>
      <w:r>
        <w:t>Both drive architectures were implemented and benchmarked on identical 16m × 16m agricultural field setups: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color w:val="1F4E78"/>
              </w:rPr>
              <w:t>Drive Architecture</w:t>
            </w:r>
          </w:p>
        </w:tc>
        <w:tc>
          <w:tcPr>
            <w:tcW w:type="dxa" w:w="3120"/>
          </w:tcPr>
          <w:p>
            <w:r>
              <w:t>Front-Wheel Ackermann Steering</w:t>
            </w:r>
          </w:p>
        </w:tc>
        <w:tc>
          <w:tcPr>
            <w:tcW w:type="dxa" w:w="3120"/>
          </w:tcPr>
          <w:p>
            <w:r>
              <w:t>4-Wheel Independent Mecanum Drive</w:t>
            </w:r>
          </w:p>
        </w:tc>
      </w:tr>
      <w:tr>
        <w:tc>
          <w:tcPr>
            <w:tcW w:type="dxa" w:w="3120"/>
            <w:shd w:fill="F2F2F2"/>
          </w:tcPr>
          <w:p>
            <w:r>
              <w:rPr>
                <w:b/>
                <w:color w:val="1F4E78"/>
              </w:rPr>
              <w:t>Steering Mechanics</w:t>
            </w:r>
          </w:p>
        </w:tc>
        <w:tc>
          <w:tcPr>
            <w:tcW w:type="dxa" w:w="3120"/>
            <w:shd w:fill="F2F2F2"/>
          </w:tcPr>
          <w:p>
            <w:r>
              <w:t>2 Front Steering Motors [-44.5°, +44.5°], Fixed Rear Axle</w:t>
            </w:r>
          </w:p>
        </w:tc>
        <w:tc>
          <w:tcPr>
            <w:tcW w:type="dxa" w:w="3120"/>
            <w:shd w:fill="F2F2F2"/>
          </w:tcPr>
          <w:p>
            <w:r>
              <w:t>0 Steering Motors (Differential Wheel Speeds ω_fl, ω_fr, ω_rl, ω_rr)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color w:val="1F4E78"/>
              </w:rPr>
              <w:t>Turning Geometry</w:t>
            </w:r>
          </w:p>
        </w:tc>
        <w:tc>
          <w:tcPr>
            <w:tcW w:type="dxa" w:w="3120"/>
          </w:tcPr>
          <w:p>
            <w:r>
              <w:t>Semicircular Dubins Headland Arcs (Radius R = 0.8m)</w:t>
            </w:r>
          </w:p>
        </w:tc>
        <w:tc>
          <w:tcPr>
            <w:tcW w:type="dxa" w:w="3120"/>
          </w:tcPr>
          <w:p>
            <w:r>
              <w:t>Zero-Radius In-Place Rotation &amp; Lateral Crab-Strafing</w:t>
            </w:r>
          </w:p>
        </w:tc>
      </w:tr>
      <w:tr>
        <w:tc>
          <w:tcPr>
            <w:tcW w:type="dxa" w:w="3120"/>
            <w:shd w:fill="F2F2F2"/>
          </w:tcPr>
          <w:p>
            <w:r>
              <w:rPr>
                <w:b/>
                <w:color w:val="1F4E78"/>
              </w:rPr>
              <w:t>Actuator Complexity</w:t>
            </w:r>
          </w:p>
        </w:tc>
        <w:tc>
          <w:tcPr>
            <w:tcW w:type="dxa" w:w="3120"/>
            <w:shd w:fill="F2F2F2"/>
          </w:tcPr>
          <w:p>
            <w:r>
              <w:t>4 Drive Motors + 2 Steering Motors</w:t>
            </w:r>
          </w:p>
        </w:tc>
        <w:tc>
          <w:tcPr>
            <w:tcW w:type="dxa" w:w="3120"/>
            <w:shd w:fill="F2F2F2"/>
          </w:tcPr>
          <w:p>
            <w:r>
              <w:t>4 Drive Motors Only</w:t>
            </w:r>
          </w:p>
        </w:tc>
      </w:tr>
    </w:tbl>
    <w:p/>
    <w:p>
      <w:pPr>
        <w:pStyle w:val="Heading1"/>
      </w:pPr>
      <w:r>
        <w:rPr>
          <w:color w:val="1F4E78"/>
        </w:rPr>
        <w:t>3. Webots 3D Environment &amp; Field Layout Upgrades</w:t>
      </w:r>
    </w:p>
    <w:p>
      <w:r>
        <w:t xml:space="preserve">Two dedicated world files were constructed in Webots: </w:t>
      </w:r>
      <w:r>
        <w:rPr>
          <w:b/>
        </w:rPr>
        <w:t>WEEDBOT_ACKERMANN.wbt</w:t>
      </w:r>
      <w:r>
        <w:t xml:space="preserve"> and </w:t>
      </w:r>
      <w:r>
        <w:rPr>
          <w:b/>
        </w:rPr>
        <w:t>WEEDBOT_MECANUM.wbt</w:t>
      </w:r>
      <w:r>
        <w:t>. Both worlds share identical 16m × 16m floor dimensions, 0.40m perimeter boundary walls at ±8.0m, 9 visual green crop row lines at 1.6m spacing (Y = -6.4m to +6.4m), and 2.5m dark brown headland turning strips.</w:t>
      </w:r>
    </w:p>
    <w:p>
      <w:pPr>
        <w:pStyle w:val="Heading1"/>
      </w:pPr>
      <w:r>
        <w:rPr>
          <w:color w:val="1F4E78"/>
        </w:rPr>
        <w:t>4. Key Navigation Bug Fixes &amp; Algorithms</w:t>
      </w:r>
    </w:p>
    <w:p>
      <w:pPr>
        <w:pStyle w:val="ListBullet"/>
      </w:pPr>
      <w:r>
        <w:rPr>
          <w:b/>
          <w:color w:val="2E75B6"/>
        </w:rPr>
        <w:t xml:space="preserve">Donut Loop Resolution: </w:t>
      </w:r>
      <w:r>
        <w:t>Re-parametrized U-turn arcs with exact semicircular Dubins equations (theta in [0, pi]), eliminating 360° teardrop spinning traps.</w:t>
      </w:r>
    </w:p>
    <w:p>
      <w:pPr>
        <w:pStyle w:val="ListBullet"/>
      </w:pPr>
      <w:r>
        <w:rPr>
          <w:b/>
          <w:color w:val="2E75B6"/>
        </w:rPr>
        <w:t xml:space="preserve">Vector Projection Advancement: </w:t>
      </w:r>
      <w:r>
        <w:t>Implemented forward dot-product check (dx·cos θ + dy·sin θ &lt; 0). If a waypoint falls behind the front axle, the controller automatically advances to the next point.</w:t>
      </w:r>
    </w:p>
    <w:p>
      <w:pPr>
        <w:pStyle w:val="ListBullet"/>
      </w:pPr>
      <w:r>
        <w:rPr>
          <w:b/>
          <w:color w:val="2E75B6"/>
        </w:rPr>
        <w:t xml:space="preserve">Initial Placement Alignment: </w:t>
      </w:r>
      <w:r>
        <w:t>Set robot starting translation to (-5.0m, -6.4m, 0.15m) facing East, centering the robot perfectly on Row 1 centerline.</w:t>
      </w:r>
    </w:p>
    <w:p>
      <w:pPr>
        <w:pStyle w:val="ListBullet"/>
      </w:pPr>
      <w:r>
        <w:rPr>
          <w:b/>
          <w:color w:val="2E75B6"/>
        </w:rPr>
        <w:t xml:space="preserve">1.30m Physical Wall Clearance: </w:t>
      </w:r>
      <w:r>
        <w:t>Headland U-turn arc peaks reach X = ±5.8m, leaving 1.30m physical clearance from perimeter walls at ±8.0m.</w:t>
      </w:r>
    </w:p>
    <w:p>
      <w:pPr>
        <w:pStyle w:val="Heading1"/>
      </w:pPr>
      <w:r>
        <w:rPr>
          <w:color w:val="1F4E78"/>
        </w:rPr>
        <w:t>5. Comparative Benchmark Results &amp; Generated Artifacts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color w:val="1F4E78"/>
              </w:rPr>
              <w:t>Performance Metric</w:t>
            </w:r>
          </w:p>
        </w:tc>
        <w:tc>
          <w:tcPr>
            <w:tcW w:type="dxa" w:w="3120"/>
          </w:tcPr>
          <w:p>
            <w:r>
              <w:t>Ackermann Steering Platform</w:t>
            </w:r>
          </w:p>
        </w:tc>
        <w:tc>
          <w:tcPr>
            <w:tcW w:type="dxa" w:w="3120"/>
          </w:tcPr>
          <w:p>
            <w:r>
              <w:t>Mecanum Omnidirectional Platform</w:t>
            </w:r>
          </w:p>
        </w:tc>
      </w:tr>
      <w:tr>
        <w:tc>
          <w:tcPr>
            <w:tcW w:type="dxa" w:w="3120"/>
            <w:shd w:fill="F2F2F2"/>
          </w:tcPr>
          <w:p>
            <w:r>
              <w:rPr>
                <w:b/>
                <w:color w:val="1F4E78"/>
              </w:rPr>
              <w:t>World Simulation File</w:t>
            </w:r>
          </w:p>
        </w:tc>
        <w:tc>
          <w:tcPr>
            <w:tcW w:type="dxa" w:w="3120"/>
            <w:shd w:fill="F2F2F2"/>
          </w:tcPr>
          <w:p>
            <w:r>
              <w:t>WEEDBOT_ACKERMANN.wbt</w:t>
            </w:r>
          </w:p>
        </w:tc>
        <w:tc>
          <w:tcPr>
            <w:tcW w:type="dxa" w:w="3120"/>
            <w:shd w:fill="F2F2F2"/>
          </w:tcPr>
          <w:p>
            <w:r>
              <w:t>WEEDBOT_MECANUM.wbt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color w:val="1F4E78"/>
              </w:rPr>
              <w:t>Python Controller Script</w:t>
            </w:r>
          </w:p>
        </w:tc>
        <w:tc>
          <w:tcPr>
            <w:tcW w:type="dxa" w:w="3120"/>
          </w:tcPr>
          <w:p>
            <w:r>
              <w:t>ackermann_steering_controller.py</w:t>
            </w:r>
          </w:p>
        </w:tc>
        <w:tc>
          <w:tcPr>
            <w:tcW w:type="dxa" w:w="3120"/>
          </w:tcPr>
          <w:p>
            <w:r>
              <w:t>mecanum_steering_controller.py</w:t>
            </w:r>
          </w:p>
        </w:tc>
      </w:tr>
      <w:tr>
        <w:tc>
          <w:tcPr>
            <w:tcW w:type="dxa" w:w="3120"/>
            <w:shd w:fill="F2F2F2"/>
          </w:tcPr>
          <w:p>
            <w:r>
              <w:rPr>
                <w:b/>
                <w:color w:val="1F4E78"/>
              </w:rPr>
              <w:t>Field Surface Coverage Efficiency</w:t>
            </w:r>
          </w:p>
        </w:tc>
        <w:tc>
          <w:tcPr>
            <w:tcW w:type="dxa" w:w="3120"/>
            <w:shd w:fill="F2F2F2"/>
          </w:tcPr>
          <w:p>
            <w:r>
              <w:t>90% (14.4m / 16.0m)</w:t>
            </w:r>
          </w:p>
        </w:tc>
        <w:tc>
          <w:tcPr>
            <w:tcW w:type="dxa" w:w="3120"/>
            <w:shd w:fill="F2F2F2"/>
          </w:tcPr>
          <w:p>
            <w:r>
              <w:t>90% (14.4m / 16.0m)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color w:val="1F4E78"/>
              </w:rPr>
              <w:t>Total Waypoints Completed</w:t>
            </w:r>
          </w:p>
        </w:tc>
        <w:tc>
          <w:tcPr>
            <w:tcW w:type="dxa" w:w="3120"/>
          </w:tcPr>
          <w:p>
            <w:r>
              <w:t>90 / 90 Waypoints (100%)</w:t>
            </w:r>
          </w:p>
        </w:tc>
        <w:tc>
          <w:tcPr>
            <w:tcW w:type="dxa" w:w="3120"/>
          </w:tcPr>
          <w:p>
            <w:r>
              <w:t>90 / 90 Waypoints (100%)</w:t>
            </w:r>
          </w:p>
        </w:tc>
      </w:tr>
      <w:tr>
        <w:tc>
          <w:tcPr>
            <w:tcW w:type="dxa" w:w="3120"/>
            <w:shd w:fill="F2F2F2"/>
          </w:tcPr>
          <w:p>
            <w:r>
              <w:rPr>
                <w:b/>
                <w:color w:val="1F4E78"/>
              </w:rPr>
              <w:t>Pictorial Results Plot</w:t>
            </w:r>
          </w:p>
        </w:tc>
        <w:tc>
          <w:tcPr>
            <w:tcW w:type="dxa" w:w="3120"/>
            <w:shd w:fill="F2F2F2"/>
          </w:tcPr>
          <w:p>
            <w:r>
              <w:t>figure_WEEDBOT_ACKERMANN_16m_9row_...png</w:t>
            </w:r>
          </w:p>
        </w:tc>
        <w:tc>
          <w:tcPr>
            <w:tcW w:type="dxa" w:w="3120"/>
            <w:shd w:fill="F2F2F2"/>
          </w:tcPr>
          <w:p>
            <w:r>
              <w:t>figure_WEEDBOT_MECANUM_16m_9row_...png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color w:val="1F4E78"/>
              </w:rPr>
              <w:t>Comparative Benchmark Figure</w:t>
            </w:r>
          </w:p>
        </w:tc>
        <w:tc>
          <w:tcPr>
            <w:tcW w:type="dxa" w:w="3120"/>
          </w:tcPr>
          <w:p>
            <w:r>
              <w:t>figure_COMPARATIVE_MECANUM_VS_ACKERMANN_16m_9row.png</w:t>
            </w:r>
          </w:p>
        </w:tc>
        <w:tc>
          <w:tcPr>
            <w:tcW w:type="dxa" w:w="3120"/>
          </w:tcPr>
          <w:p>
            <w:r>
              <w:t>figure_COMPARATIVE_MECANUM_VS_ACKERMANN_16m_9row.png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