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 and Science School for All Grades</w:t>
      </w:r>
    </w:p>
    <w:p>
      <w:r>
        <w:t>This document provides an overview of the facilities and opportunities available at the Art and Science School for All Grades.</w:t>
      </w:r>
    </w:p>
    <w:p>
      <w:pPr>
        <w:pStyle w:val="Heading2"/>
      </w:pPr>
      <w:r>
        <w:t>Science Laboratories</w:t>
      </w:r>
    </w:p>
    <w:p>
      <w:r>
        <w:t>Fully equipped Physics, Chemistry, Biology, and General Science laboratories for practical learning.</w:t>
      </w:r>
    </w:p>
    <w:p>
      <w:pPr>
        <w:pStyle w:val="Heading2"/>
      </w:pPr>
      <w:r>
        <w:t>Innovation and Research Center</w:t>
      </w:r>
    </w:p>
    <w:p>
      <w:r>
        <w:t>Dedicated spaces for scientific projects, experiments, and student innovation.</w:t>
      </w:r>
    </w:p>
    <w:p>
      <w:pPr>
        <w:pStyle w:val="Heading2"/>
      </w:pPr>
      <w:r>
        <w:t>Art Studios</w:t>
      </w:r>
    </w:p>
    <w:p>
      <w:r>
        <w:t>Creative studios for drawing, painting, sculpture, and visual arts activities.</w:t>
      </w:r>
    </w:p>
    <w:p>
      <w:pPr>
        <w:pStyle w:val="Heading2"/>
      </w:pPr>
      <w:r>
        <w:t>Digital Design Lab</w:t>
      </w:r>
    </w:p>
    <w:p>
      <w:r>
        <w:t>Computer-based facilities for graphic design, animation, and digital creativity.</w:t>
      </w:r>
    </w:p>
    <w:p>
      <w:pPr>
        <w:pStyle w:val="Heading2"/>
      </w:pPr>
      <w:r>
        <w:t>Library and Resource Center</w:t>
      </w:r>
    </w:p>
    <w:p>
      <w:r>
        <w:t>A comprehensive collection of books, journals, and digital learning resources.</w:t>
      </w:r>
    </w:p>
    <w:p>
      <w:pPr>
        <w:pStyle w:val="Heading2"/>
      </w:pPr>
      <w:r>
        <w:t>STEM Programs</w:t>
      </w:r>
    </w:p>
    <w:p>
      <w:r>
        <w:t>Science, Technology, Engineering, and Mathematics activities to develop critical thinking skills.</w:t>
      </w:r>
    </w:p>
    <w:p>
      <w:pPr>
        <w:pStyle w:val="Heading2"/>
      </w:pPr>
      <w:r>
        <w:t>Exhibitions and Competitions</w:t>
      </w:r>
    </w:p>
    <w:p>
      <w:r>
        <w:t>Regular art exhibitions, science fairs, and academic competitions.</w:t>
      </w:r>
    </w:p>
    <w:p>
      <w:pPr>
        <w:pStyle w:val="Heading2"/>
      </w:pPr>
      <w:r>
        <w:t>Multimedia Classrooms</w:t>
      </w:r>
    </w:p>
    <w:p>
      <w:r>
        <w:t>Technology-enabled classrooms supporting interactive learning experiences.</w:t>
      </w:r>
    </w:p>
    <w:p>
      <w:pPr>
        <w:pStyle w:val="Heading2"/>
      </w:pPr>
      <w:r>
        <w:t>Student Clubs</w:t>
      </w:r>
    </w:p>
    <w:p>
      <w:r>
        <w:t>Science clubs, art societies, robotics groups, and creative workshops.</w:t>
      </w:r>
    </w:p>
    <w:p>
      <w:pPr>
        <w:pStyle w:val="Heading2"/>
      </w:pPr>
      <w:r>
        <w:t>Career Guidance</w:t>
      </w:r>
    </w:p>
    <w:p>
      <w:r>
        <w:t>Academic and career counseling for higher education and professional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