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8B6524" w:rsidRDefault="00875B1B" w:rsidP="006E7BEF">
      <w:pPr>
        <w:pStyle w:val="papertitle"/>
        <w:spacing w:before="100" w:beforeAutospacing="1" w:after="100" w:afterAutospacing="1"/>
        <w:rPr>
          <w:kern w:val="48"/>
        </w:rPr>
      </w:pPr>
      <w:r w:rsidRPr="00875B1B">
        <w:rPr>
          <w:kern w:val="48"/>
        </w:rPr>
        <w:t>Analyzing Engineers Writing for Non-engineer</w:t>
      </w:r>
      <w:r>
        <w:rPr>
          <w:kern w:val="48"/>
        </w:rPr>
        <w:t>s</w:t>
      </w:r>
    </w:p>
    <w:p w:rsidR="00D7522C" w:rsidRDefault="00D7522C" w:rsidP="00A65AC0">
      <w:pPr>
        <w:pStyle w:val="Author"/>
        <w:spacing w:before="100" w:beforeAutospacing="1" w:after="100" w:afterAutospacing="1" w:line="120" w:lineRule="auto"/>
        <w:rPr>
          <w:sz w:val="16"/>
          <w:szCs w:val="16"/>
        </w:rPr>
      </w:pPr>
    </w:p>
    <w:p w:rsidR="00A65AC0" w:rsidRDefault="00A65AC0" w:rsidP="00A65AC0">
      <w:pPr>
        <w:pStyle w:val="Author"/>
        <w:spacing w:before="100" w:beforeAutospacing="1" w:after="100" w:afterAutospacing="1" w:line="120" w:lineRule="auto"/>
        <w:rPr>
          <w:sz w:val="16"/>
          <w:szCs w:val="16"/>
        </w:rPr>
      </w:pPr>
    </w:p>
    <w:p w:rsidR="00D7522C" w:rsidRPr="00CA4392" w:rsidRDefault="00D7522C" w:rsidP="00A65AC0">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A3B3D" w:rsidRPr="00F847A6" w:rsidRDefault="00184200" w:rsidP="00AB5529">
      <w:pPr>
        <w:pStyle w:val="Author"/>
        <w:spacing w:before="100" w:beforeAutospacing="1"/>
        <w:rPr>
          <w:sz w:val="18"/>
          <w:szCs w:val="18"/>
        </w:rPr>
      </w:pPr>
      <w:r w:rsidRPr="00184200">
        <w:rPr>
          <w:sz w:val="18"/>
          <w:szCs w:val="18"/>
        </w:rPr>
        <w:t>Muhammad Nadeem</w:t>
      </w:r>
      <w:r w:rsidR="001A3B3D" w:rsidRPr="00F847A6">
        <w:rPr>
          <w:sz w:val="18"/>
          <w:szCs w:val="18"/>
        </w:rPr>
        <w:br/>
      </w:r>
      <w:r w:rsidR="00087795">
        <w:rPr>
          <w:i/>
          <w:sz w:val="18"/>
          <w:szCs w:val="18"/>
        </w:rPr>
        <w:t>Dept. of Electrical,</w:t>
      </w:r>
      <w:r w:rsidR="00087795" w:rsidRPr="00A428D5">
        <w:rPr>
          <w:i/>
          <w:sz w:val="18"/>
          <w:szCs w:val="18"/>
        </w:rPr>
        <w:t xml:space="preserve"> Computer</w:t>
      </w:r>
      <w:r w:rsidR="00087795">
        <w:rPr>
          <w:i/>
          <w:sz w:val="18"/>
          <w:szCs w:val="18"/>
        </w:rPr>
        <w:t>, and Software</w:t>
      </w:r>
      <w:r w:rsidR="00087795" w:rsidRPr="00A428D5">
        <w:rPr>
          <w:i/>
          <w:sz w:val="18"/>
          <w:szCs w:val="18"/>
        </w:rPr>
        <w:t xml:space="preserve"> Engineering </w:t>
      </w:r>
      <w:r w:rsidR="00087795" w:rsidRPr="00A428D5">
        <w:rPr>
          <w:i/>
          <w:sz w:val="18"/>
          <w:szCs w:val="18"/>
        </w:rPr>
        <w:br/>
      </w:r>
      <w:r w:rsidR="00087795" w:rsidRPr="00A428D5">
        <w:rPr>
          <w:sz w:val="18"/>
          <w:szCs w:val="18"/>
        </w:rPr>
        <w:t>The University of Auckland</w:t>
      </w:r>
      <w:r w:rsidR="00087795" w:rsidRPr="00A428D5">
        <w:rPr>
          <w:i/>
          <w:sz w:val="18"/>
          <w:szCs w:val="18"/>
        </w:rPr>
        <w:br/>
      </w:r>
      <w:r w:rsidR="00087795" w:rsidRPr="00A428D5">
        <w:rPr>
          <w:sz w:val="18"/>
          <w:szCs w:val="18"/>
        </w:rPr>
        <w:t>Auckland, New Zealand</w:t>
      </w:r>
      <w:r w:rsidR="001A3B3D" w:rsidRPr="00F847A6">
        <w:rPr>
          <w:sz w:val="18"/>
          <w:szCs w:val="18"/>
        </w:rPr>
        <w:br/>
      </w:r>
      <w:r w:rsidR="00087795">
        <w:rPr>
          <w:sz w:val="18"/>
          <w:szCs w:val="18"/>
        </w:rPr>
        <w:t>muhammad.nadeem@auckland.ac.nz</w:t>
      </w:r>
      <w:r w:rsidR="00BD670B">
        <w:rPr>
          <w:sz w:val="18"/>
          <w:szCs w:val="18"/>
        </w:rPr>
        <w:br w:type="column"/>
      </w:r>
      <w:r w:rsidR="00087795" w:rsidRPr="00A428D5">
        <w:rPr>
          <w:sz w:val="18"/>
          <w:szCs w:val="18"/>
        </w:rPr>
        <w:t>Morteza Biglari-Abhari</w:t>
      </w:r>
      <w:r w:rsidR="001A3B3D" w:rsidRPr="00F847A6">
        <w:rPr>
          <w:sz w:val="18"/>
          <w:szCs w:val="18"/>
        </w:rPr>
        <w:br/>
      </w:r>
      <w:r w:rsidR="00087795">
        <w:rPr>
          <w:i/>
          <w:sz w:val="18"/>
          <w:szCs w:val="18"/>
        </w:rPr>
        <w:t>Dept. of Electrical,</w:t>
      </w:r>
      <w:r w:rsidR="00087795" w:rsidRPr="00A428D5">
        <w:rPr>
          <w:i/>
          <w:sz w:val="18"/>
          <w:szCs w:val="18"/>
        </w:rPr>
        <w:t xml:space="preserve"> Computer</w:t>
      </w:r>
      <w:r w:rsidR="00087795">
        <w:rPr>
          <w:i/>
          <w:sz w:val="18"/>
          <w:szCs w:val="18"/>
        </w:rPr>
        <w:t>, and Software</w:t>
      </w:r>
      <w:r w:rsidR="00087795" w:rsidRPr="00A428D5">
        <w:rPr>
          <w:i/>
          <w:sz w:val="18"/>
          <w:szCs w:val="18"/>
        </w:rPr>
        <w:t xml:space="preserve"> Engineering </w:t>
      </w:r>
      <w:r w:rsidR="00087795" w:rsidRPr="00A428D5">
        <w:rPr>
          <w:i/>
          <w:sz w:val="18"/>
          <w:szCs w:val="18"/>
        </w:rPr>
        <w:br/>
      </w:r>
      <w:r w:rsidR="00087795" w:rsidRPr="00A428D5">
        <w:rPr>
          <w:sz w:val="18"/>
          <w:szCs w:val="18"/>
        </w:rPr>
        <w:t>The University of Auckland</w:t>
      </w:r>
      <w:r w:rsidR="00087795" w:rsidRPr="00A428D5">
        <w:rPr>
          <w:i/>
          <w:sz w:val="18"/>
          <w:szCs w:val="18"/>
        </w:rPr>
        <w:br/>
      </w:r>
      <w:r w:rsidR="00087795" w:rsidRPr="00A428D5">
        <w:rPr>
          <w:sz w:val="18"/>
          <w:szCs w:val="18"/>
        </w:rPr>
        <w:t>Auckland, New Zealand</w:t>
      </w:r>
      <w:r w:rsidR="001A3B3D" w:rsidRPr="00F847A6">
        <w:rPr>
          <w:sz w:val="18"/>
          <w:szCs w:val="18"/>
        </w:rPr>
        <w:br/>
      </w:r>
      <w:r w:rsidR="00087795">
        <w:rPr>
          <w:sz w:val="18"/>
          <w:szCs w:val="18"/>
        </w:rPr>
        <w:t>m.abhari@auckland.ac.nz</w:t>
      </w:r>
    </w:p>
    <w:p w:rsidR="00617B50" w:rsidRDefault="00617B50" w:rsidP="00447BB9">
      <w:pPr>
        <w:pStyle w:val="Author"/>
        <w:spacing w:before="100" w:beforeAutospacing="1"/>
        <w:sectPr w:rsidR="00617B50" w:rsidSect="00617B50">
          <w:type w:val="continuous"/>
          <w:pgSz w:w="11906" w:h="16838" w:code="9"/>
          <w:pgMar w:top="450" w:right="893" w:bottom="1440" w:left="893" w:header="720" w:footer="720" w:gutter="0"/>
          <w:cols w:num="2" w:space="720"/>
          <w:docGrid w:linePitch="360"/>
        </w:sectPr>
      </w:pPr>
    </w:p>
    <w:p w:rsidR="009F1D79" w:rsidRDefault="009F1D79" w:rsidP="00617B50">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A75B71" w:rsidRPr="00A75B71">
        <w:t>Engineers spend a considerable amount of time in communicating with technical and non-technical audiences when on work. Due to the high demands of good technical writing skills, most engineering faculties and educationists take special initiatives for fostering such attributes but writing skills for non-technical people is often overlooked. A large number of students stumble into writing with an inadequate sense of the significance of their audience — a problem that needs attention. This introductory study analyzes the engineering students’ writing when addressing non-technical people. We conducted short writing exercises in a third-year engineering course aiming at pitching an idea to non-t</w:t>
      </w:r>
      <w:r w:rsidR="00425F4D">
        <w:t>ec</w:t>
      </w:r>
      <w:r w:rsidR="00A75B71" w:rsidRPr="00A75B71">
        <w:t>hnical audiences with a view to assessing their ability to adapt their writing according to the audiences. These writings are analyzed using the freely available text analyzing tools. The analysis revealed that students’ writings are complex and tend to address the more qualified people than general audiences. Furthermore, their writings are usually dominated by an analytical tone. The preliminary findings provide ample encouragement to further explore this topic and provide a basis for related practitioners to address this issue and develop strategies to overcome this issue.</w:t>
      </w:r>
    </w:p>
    <w:p w:rsidR="009303D9" w:rsidRPr="004D72B5" w:rsidRDefault="004D72B5" w:rsidP="00972203">
      <w:pPr>
        <w:pStyle w:val="Keywords"/>
      </w:pPr>
      <w:r w:rsidRPr="004D72B5">
        <w:t>Keywords—</w:t>
      </w:r>
      <w:r w:rsidR="00C45355" w:rsidRPr="009F6892">
        <w:t xml:space="preserve">communication skills, writing </w:t>
      </w:r>
      <w:r w:rsidR="00C45355">
        <w:t>analysis</w:t>
      </w:r>
      <w:r w:rsidR="00C45355" w:rsidRPr="009F6892">
        <w:t xml:space="preserve">, engineering education, </w:t>
      </w:r>
      <w:r w:rsidR="00C45355">
        <w:t>writing tone</w:t>
      </w:r>
      <w:r w:rsidR="00C45355" w:rsidRPr="009F6892">
        <w:t xml:space="preserve">, </w:t>
      </w:r>
      <w:r w:rsidR="00C45355">
        <w:t>and teaching/learning strategies</w:t>
      </w:r>
    </w:p>
    <w:p w:rsidR="009303D9" w:rsidRPr="00D632BE" w:rsidRDefault="00C45355" w:rsidP="006B6B66">
      <w:pPr>
        <w:pStyle w:val="Heading1"/>
      </w:pPr>
      <w:r>
        <w:t xml:space="preserve">Introduction </w:t>
      </w:r>
    </w:p>
    <w:p w:rsidR="00C45355" w:rsidRPr="00704F10" w:rsidRDefault="009F2F7B" w:rsidP="00C45355">
      <w:pPr>
        <w:pStyle w:val="BodyText"/>
        <w:ind w:firstLine="0"/>
        <w:rPr>
          <w:color w:val="000000"/>
          <w:lang w:val="en-NZ"/>
        </w:rPr>
      </w:pPr>
      <w:r>
        <w:tab/>
      </w:r>
      <w:r w:rsidR="009303D9" w:rsidRPr="005B520E">
        <w:t xml:space="preserve">This </w:t>
      </w:r>
      <w:r w:rsidR="00C45355" w:rsidRPr="00704F10">
        <w:rPr>
          <w:color w:val="000000"/>
          <w:lang w:val="en-NZ"/>
        </w:rPr>
        <w:t xml:space="preserve">The demand of engineers </w:t>
      </w:r>
      <w:r w:rsidR="00C45355">
        <w:rPr>
          <w:color w:val="000000"/>
          <w:lang w:val="en-NZ"/>
        </w:rPr>
        <w:t>has</w:t>
      </w:r>
      <w:r w:rsidR="00C45355" w:rsidRPr="00704F10">
        <w:rPr>
          <w:color w:val="000000"/>
          <w:lang w:val="en-NZ"/>
        </w:rPr>
        <w:t xml:space="preserve"> continuously </w:t>
      </w:r>
      <w:r w:rsidR="00C45355">
        <w:rPr>
          <w:color w:val="000000"/>
          <w:lang w:val="en-NZ"/>
        </w:rPr>
        <w:t xml:space="preserve">been </w:t>
      </w:r>
      <w:r w:rsidR="00C45355" w:rsidRPr="00704F10">
        <w:rPr>
          <w:color w:val="000000"/>
          <w:lang w:val="en-NZ"/>
        </w:rPr>
        <w:t xml:space="preserve">growing since the middle of the second century due to rapid developments in science and technology. Writing is an essential soft skill for every aspiring engineer as most of the companies are owned by rich investors who find it hard to communicate technical information in a way that is easily understood by their audiences. This is as important as developing a product and hold value to both </w:t>
      </w:r>
      <w:r w:rsidR="00C45355">
        <w:rPr>
          <w:color w:val="000000"/>
          <w:lang w:val="en-NZ"/>
        </w:rPr>
        <w:t>organizations</w:t>
      </w:r>
      <w:r w:rsidR="00C45355" w:rsidRPr="00704F10">
        <w:rPr>
          <w:color w:val="000000"/>
          <w:lang w:val="en-NZ"/>
        </w:rPr>
        <w:t xml:space="preserve"> </w:t>
      </w:r>
      <w:r w:rsidR="00C45355">
        <w:rPr>
          <w:color w:val="000000"/>
          <w:lang w:val="en-NZ"/>
        </w:rPr>
        <w:t>and engineers</w:t>
      </w:r>
      <w:r w:rsidR="00C45355" w:rsidRPr="00704F10">
        <w:rPr>
          <w:color w:val="000000"/>
          <w:lang w:val="en-NZ"/>
        </w:rPr>
        <w:t>. Therefore, engineers need to possess good communication skills which allows them to transmit information effectively and adds tremendous value to their career.  The impressive work produced by engineers is useless unless it is communicated to others in a way that they understand.</w:t>
      </w:r>
      <w:r w:rsidR="00C45355">
        <w:rPr>
          <w:color w:val="000000"/>
          <w:lang w:val="en-NZ"/>
        </w:rPr>
        <w:t xml:space="preserve"> It is said that lack of clear and effective communication were t</w:t>
      </w:r>
      <w:r w:rsidR="00C45355" w:rsidRPr="00E43DCF">
        <w:rPr>
          <w:color w:val="000000"/>
          <w:lang w:val="en-NZ"/>
        </w:rPr>
        <w:t>he reason</w:t>
      </w:r>
      <w:r w:rsidR="00C45355">
        <w:rPr>
          <w:color w:val="000000"/>
          <w:lang w:val="en-NZ"/>
        </w:rPr>
        <w:t>s</w:t>
      </w:r>
      <w:r w:rsidR="00C45355" w:rsidRPr="00E43DCF">
        <w:rPr>
          <w:color w:val="000000"/>
          <w:lang w:val="en-NZ"/>
        </w:rPr>
        <w:t xml:space="preserve"> behind some of the most </w:t>
      </w:r>
      <w:r w:rsidR="00C45355">
        <w:rPr>
          <w:color w:val="000000"/>
          <w:lang w:val="en-NZ"/>
        </w:rPr>
        <w:t>devastating engineering flops</w:t>
      </w:r>
      <w:r w:rsidR="00C45355" w:rsidRPr="00E43DCF">
        <w:rPr>
          <w:color w:val="000000"/>
          <w:lang w:val="en-NZ"/>
        </w:rPr>
        <w:t xml:space="preserve"> such as the Space Sh</w:t>
      </w:r>
      <w:r w:rsidR="00C45355">
        <w:rPr>
          <w:color w:val="000000"/>
          <w:lang w:val="en-NZ"/>
        </w:rPr>
        <w:t>uttle Challenger catastrophe</w:t>
      </w:r>
      <w:r w:rsidR="00C45355" w:rsidRPr="00E43DCF">
        <w:rPr>
          <w:color w:val="000000"/>
          <w:lang w:val="en-NZ"/>
        </w:rPr>
        <w:t xml:space="preserve"> and </w:t>
      </w:r>
      <w:r w:rsidR="00C45355">
        <w:rPr>
          <w:color w:val="000000"/>
          <w:lang w:val="en-NZ"/>
        </w:rPr>
        <w:t xml:space="preserve">the </w:t>
      </w:r>
      <w:r w:rsidR="00C45355" w:rsidRPr="00E43DCF">
        <w:rPr>
          <w:color w:val="000000"/>
          <w:lang w:val="en-NZ"/>
        </w:rPr>
        <w:t>loss of the N</w:t>
      </w:r>
      <w:r w:rsidR="00C45355">
        <w:rPr>
          <w:color w:val="000000"/>
          <w:lang w:val="en-NZ"/>
        </w:rPr>
        <w:t>ASA Mars Climate Orbiter.</w:t>
      </w:r>
    </w:p>
    <w:p w:rsidR="00C45355" w:rsidRPr="00B63B10" w:rsidRDefault="00C45355" w:rsidP="00C45355">
      <w:pPr>
        <w:pStyle w:val="BodyText"/>
        <w:rPr>
          <w:color w:val="000000"/>
          <w:lang w:val="en-NZ"/>
        </w:rPr>
      </w:pPr>
      <w:r w:rsidRPr="00B63B10">
        <w:rPr>
          <w:color w:val="000000"/>
          <w:lang w:val="en-NZ"/>
        </w:rPr>
        <w:t xml:space="preserve">Communication skills are </w:t>
      </w:r>
      <w:r>
        <w:rPr>
          <w:color w:val="000000"/>
          <w:lang w:val="en-NZ"/>
        </w:rPr>
        <w:t xml:space="preserve">essential attributes </w:t>
      </w:r>
      <w:r w:rsidRPr="00B63B10">
        <w:rPr>
          <w:color w:val="000000"/>
          <w:lang w:val="en-NZ"/>
        </w:rPr>
        <w:t xml:space="preserve">for engineering graduates </w:t>
      </w:r>
      <w:r w:rsidRPr="00B63B10">
        <w:rPr>
          <w:color w:val="000000"/>
          <w:lang w:val="en-NZ"/>
        </w:rPr>
        <w:fldChar w:fldCharType="begin"/>
      </w:r>
      <w:r w:rsidRPr="00B63B10">
        <w:rPr>
          <w:color w:val="000000"/>
          <w:lang w:val="en-NZ"/>
        </w:rPr>
        <w:instrText xml:space="preserve"> ADDIN EN.CITE &lt;EndNote&gt;&lt;Cite&gt;&lt;Author&gt;Riemer&lt;/Author&gt;&lt;Year&gt;2007&lt;/Year&gt;&lt;RecNum&gt;3&lt;/RecNum&gt;&lt;DisplayText&gt;[1]&lt;/DisplayText&gt;&lt;record&gt;&lt;rec-number&gt;3&lt;/rec-number&gt;&lt;foreign-keys&gt;&lt;key app="EN" db-id="9dvaet09nevwpbex5sc52psirz2frfexx5va" timestamp="1529284681"&gt;3&lt;/key&gt;&lt;/foreign-keys&gt;&lt;ref-type name="Journal Article"&gt;17&lt;/ref-type&gt;&lt;contributors&gt;&lt;authors&gt;&lt;author&gt;Riemer, Marc J&lt;/author&gt;&lt;/authors&gt;&lt;/contributors&gt;&lt;titles&gt;&lt;title&gt;Communication skills for the 21st century engineer&lt;/title&gt;&lt;secondary-title&gt;Global J. of Engng. Educ&lt;/secondary-title&gt;&lt;/titles&gt;&lt;periodical&gt;&lt;full-title&gt;Global J. of Engng. Educ&lt;/full-title&gt;&lt;/periodical&gt;&lt;pages&gt;89-100&lt;/pages&gt;&lt;volume&gt;11&lt;/volume&gt;&lt;number&gt;1&lt;/number&gt;&lt;dates&gt;&lt;year&gt;2007&lt;/year&gt;&lt;/dates&gt;&lt;urls&gt;&lt;/urls&gt;&lt;/record&gt;&lt;/Cite&gt;&lt;/EndNote&gt;</w:instrText>
      </w:r>
      <w:r w:rsidRPr="00B63B10">
        <w:rPr>
          <w:color w:val="000000"/>
          <w:lang w:val="en-NZ"/>
        </w:rPr>
        <w:fldChar w:fldCharType="separate"/>
      </w:r>
      <w:r w:rsidRPr="00B63B10">
        <w:rPr>
          <w:color w:val="000000"/>
          <w:lang w:val="en-NZ"/>
        </w:rPr>
        <w:t>[1]</w:t>
      </w:r>
      <w:r w:rsidRPr="00B63B10">
        <w:rPr>
          <w:color w:val="000000"/>
          <w:lang w:val="en-NZ"/>
        </w:rPr>
        <w:fldChar w:fldCharType="end"/>
      </w:r>
      <w:r w:rsidRPr="00B63B10">
        <w:rPr>
          <w:color w:val="000000"/>
          <w:lang w:val="en-NZ"/>
        </w:rPr>
        <w:t xml:space="preserve"> </w:t>
      </w:r>
      <w:r>
        <w:rPr>
          <w:color w:val="000000"/>
          <w:lang w:val="en-NZ"/>
        </w:rPr>
        <w:t xml:space="preserve">and this is </w:t>
      </w:r>
      <w:r w:rsidRPr="00B63B10">
        <w:rPr>
          <w:color w:val="000000"/>
          <w:lang w:val="en-NZ"/>
        </w:rPr>
        <w:t xml:space="preserve">one of </w:t>
      </w:r>
      <w:r>
        <w:rPr>
          <w:color w:val="000000"/>
          <w:lang w:val="en-NZ"/>
        </w:rPr>
        <w:t xml:space="preserve">the </w:t>
      </w:r>
      <w:r w:rsidRPr="00B63B10">
        <w:rPr>
          <w:color w:val="000000"/>
          <w:lang w:val="en-NZ"/>
        </w:rPr>
        <w:t xml:space="preserve">key outcomes required by an undergraduate engineering programme </w:t>
      </w:r>
      <w:r>
        <w:rPr>
          <w:color w:val="000000"/>
          <w:lang w:val="en-NZ"/>
        </w:rPr>
        <w:t xml:space="preserve">set by </w:t>
      </w:r>
      <w:r w:rsidRPr="00B63B10">
        <w:rPr>
          <w:color w:val="000000"/>
          <w:lang w:val="en-NZ"/>
        </w:rPr>
        <w:t xml:space="preserve"> ABET Engineering Criteria 2000 </w:t>
      </w:r>
      <w:r w:rsidRPr="00B63B10">
        <w:rPr>
          <w:color w:val="000000"/>
          <w:lang w:val="en-NZ"/>
        </w:rPr>
        <w:fldChar w:fldCharType="begin"/>
      </w:r>
      <w:r w:rsidRPr="00B63B10">
        <w:rPr>
          <w:color w:val="000000"/>
          <w:lang w:val="en-NZ"/>
        </w:rPr>
        <w:instrText xml:space="preserve"> ADDIN EN.CITE &lt;EndNote&gt;&lt;Cite&gt;&lt;Author&gt;Baum&lt;/Author&gt;&lt;Year&gt;2000&lt;/Year&gt;&lt;RecNum&gt;29&lt;/RecNum&gt;&lt;DisplayText&gt;[2]&lt;/DisplayText&gt;&lt;record&gt;&lt;rec-number&gt;29&lt;/rec-number&gt;&lt;foreign-keys&gt;&lt;key app="EN" db-id="9dvaet09nevwpbex5sc52psirz2frfexx5va" timestamp="1531972161"&gt;29&lt;/key&gt;&lt;/foreign-keys&gt;&lt;ref-type name="Conference Proceedings"&gt;10&lt;/ref-type&gt;&lt;contributors&gt;&lt;authors&gt;&lt;author&gt;Baum, Eleanor&lt;/author&gt;&lt;/authors&gt;&lt;/contributors&gt;&lt;titles&gt;&lt;title&gt;Engineering accreditation in the United States of America–Criteria 2000&lt;/title&gt;&lt;secondary-title&gt;Proc. 2 nd Global Congress on Engng. Educ&lt;/secondary-title&gt;&lt;/titles&gt;&lt;pages&gt;17-20&lt;/pages&gt;&lt;dates&gt;&lt;year&gt;2000&lt;/year&gt;&lt;/dates&gt;&lt;urls&gt;&lt;/urls&gt;&lt;/record&gt;&lt;/Cite&gt;&lt;/EndNote&gt;</w:instrText>
      </w:r>
      <w:r w:rsidRPr="00B63B10">
        <w:rPr>
          <w:color w:val="000000"/>
          <w:lang w:val="en-NZ"/>
        </w:rPr>
        <w:fldChar w:fldCharType="separate"/>
      </w:r>
      <w:r w:rsidRPr="00B63B10">
        <w:rPr>
          <w:color w:val="000000"/>
          <w:lang w:val="en-NZ"/>
        </w:rPr>
        <w:t>[2]</w:t>
      </w:r>
      <w:r w:rsidRPr="00B63B10">
        <w:rPr>
          <w:color w:val="000000"/>
          <w:lang w:val="en-NZ"/>
        </w:rPr>
        <w:fldChar w:fldCharType="end"/>
      </w:r>
      <w:r w:rsidRPr="00B63B10">
        <w:rPr>
          <w:color w:val="000000"/>
          <w:lang w:val="en-NZ"/>
        </w:rPr>
        <w:t xml:space="preserve"> and Washington Accord accreditation standards for Engineers </w:t>
      </w:r>
      <w:r w:rsidRPr="00B63B10">
        <w:rPr>
          <w:color w:val="000000"/>
          <w:lang w:val="en-NZ"/>
        </w:rPr>
        <w:fldChar w:fldCharType="begin"/>
      </w:r>
      <w:r w:rsidRPr="00B63B10">
        <w:rPr>
          <w:color w:val="000000"/>
          <w:lang w:val="en-NZ"/>
        </w:rPr>
        <w:instrText xml:space="preserve"> ADDIN EN.CITE &lt;EndNote&gt;&lt;Cite&gt;&lt;Author&gt;Anwar&lt;/Author&gt;&lt;Year&gt;2018&lt;/Year&gt;&lt;RecNum&gt;30&lt;/RecNum&gt;&lt;DisplayText&gt;[3]&lt;/DisplayText&gt;&lt;record&gt;&lt;rec-number&gt;30&lt;/rec-number&gt;&lt;foreign-keys&gt;&lt;key app="EN" db-id="9dvaet09nevwpbex5sc52psirz2frfexx5va" timestamp="1531972632"&gt;30&lt;/key&gt;&lt;/foreign-keys&gt;&lt;ref-type name="Journal Article"&gt;17&lt;/ref-type&gt;&lt;contributors&gt;&lt;authors&gt;&lt;author&gt;Anwar, Arif A&lt;/author&gt;&lt;author&gt;Richards, David J&lt;/author&gt;&lt;author&gt;Eng, C&lt;/author&gt;&lt;/authors&gt;&lt;/contributors&gt;&lt;titles&gt;&lt;title&gt;Comparison of EC and ABET Accreditation Criteria&lt;/title&gt;&lt;secondary-title&gt;Journal of Professional Issues in Engineering Education and Practice&lt;/secondary-title&gt;&lt;/titles&gt;&lt;periodical&gt;&lt;full-title&gt;Journal of Professional Issues in Engineering Education and Practice&lt;/full-title&gt;&lt;/periodical&gt;&lt;pages&gt;06018001&lt;/pages&gt;&lt;volume&gt;144&lt;/volume&gt;&lt;number&gt;3&lt;/number&gt;&lt;dates&gt;&lt;year&gt;2018&lt;/year&gt;&lt;/dates&gt;&lt;isbn&gt;1052-3928&lt;/isbn&gt;&lt;urls&gt;&lt;/urls&gt;&lt;/record&gt;&lt;/Cite&gt;&lt;/EndNote&gt;</w:instrText>
      </w:r>
      <w:r w:rsidRPr="00B63B10">
        <w:rPr>
          <w:color w:val="000000"/>
          <w:lang w:val="en-NZ"/>
        </w:rPr>
        <w:fldChar w:fldCharType="separate"/>
      </w:r>
      <w:r w:rsidRPr="00B63B10">
        <w:rPr>
          <w:color w:val="000000"/>
          <w:lang w:val="en-NZ"/>
        </w:rPr>
        <w:t>[3]</w:t>
      </w:r>
      <w:r w:rsidRPr="00B63B10">
        <w:rPr>
          <w:color w:val="000000"/>
          <w:lang w:val="en-NZ"/>
        </w:rPr>
        <w:fldChar w:fldCharType="end"/>
      </w:r>
      <w:r w:rsidRPr="00B63B10">
        <w:rPr>
          <w:color w:val="000000"/>
          <w:lang w:val="en-NZ"/>
        </w:rPr>
        <w:t xml:space="preserve">. These accreditations demand that engineering programs must </w:t>
      </w:r>
      <w:r>
        <w:rPr>
          <w:color w:val="000000"/>
          <w:lang w:val="en-NZ"/>
        </w:rPr>
        <w:t>not only evaluate</w:t>
      </w:r>
      <w:r w:rsidRPr="00B63B10">
        <w:rPr>
          <w:color w:val="000000"/>
          <w:lang w:val="en-NZ"/>
        </w:rPr>
        <w:t xml:space="preserve"> student</w:t>
      </w:r>
      <w:r>
        <w:rPr>
          <w:color w:val="000000"/>
          <w:lang w:val="en-NZ"/>
        </w:rPr>
        <w:t>s’ technical skills but also</w:t>
      </w:r>
      <w:r w:rsidRPr="00B63B10">
        <w:rPr>
          <w:color w:val="000000"/>
          <w:lang w:val="en-NZ"/>
        </w:rPr>
        <w:t xml:space="preserve"> </w:t>
      </w:r>
      <w:r>
        <w:rPr>
          <w:color w:val="000000"/>
          <w:lang w:val="en-NZ"/>
        </w:rPr>
        <w:t xml:space="preserve">evaluate </w:t>
      </w:r>
      <w:r w:rsidRPr="00B63B10">
        <w:rPr>
          <w:color w:val="000000"/>
          <w:lang w:val="en-NZ"/>
        </w:rPr>
        <w:t>profession</w:t>
      </w:r>
      <w:r>
        <w:rPr>
          <w:color w:val="000000"/>
          <w:lang w:val="en-NZ"/>
        </w:rPr>
        <w:t>al skills such as verbal</w:t>
      </w:r>
      <w:r w:rsidRPr="00B63B10">
        <w:rPr>
          <w:color w:val="000000"/>
          <w:lang w:val="en-NZ"/>
        </w:rPr>
        <w:t xml:space="preserve"> and written communication. </w:t>
      </w:r>
    </w:p>
    <w:p w:rsidR="00C45355" w:rsidRDefault="00C45355" w:rsidP="00C45355">
      <w:pPr>
        <w:pStyle w:val="BodyText"/>
        <w:ind w:firstLine="0"/>
        <w:rPr>
          <w:color w:val="000000"/>
          <w:lang w:val="en-NZ"/>
        </w:rPr>
      </w:pPr>
      <w:r>
        <w:rPr>
          <w:color w:val="538135"/>
          <w:lang w:val="en-NZ"/>
        </w:rPr>
        <w:tab/>
      </w:r>
      <w:r w:rsidRPr="00E43DCF">
        <w:rPr>
          <w:color w:val="000000"/>
          <w:lang w:val="en-NZ"/>
        </w:rPr>
        <w:t xml:space="preserve">Engineers usually work on large and complex projects which require </w:t>
      </w:r>
      <w:r>
        <w:rPr>
          <w:color w:val="000000"/>
          <w:lang w:val="en-NZ"/>
        </w:rPr>
        <w:t xml:space="preserve">the </w:t>
      </w:r>
      <w:r w:rsidRPr="00E43DCF">
        <w:rPr>
          <w:color w:val="000000"/>
          <w:lang w:val="en-NZ"/>
        </w:rPr>
        <w:t>integration of many groups spread across the component</w:t>
      </w:r>
      <w:r>
        <w:rPr>
          <w:color w:val="000000"/>
          <w:lang w:val="en-NZ"/>
        </w:rPr>
        <w:t>s</w:t>
      </w:r>
      <w:r w:rsidRPr="00E43DCF">
        <w:rPr>
          <w:color w:val="000000"/>
          <w:lang w:val="en-NZ"/>
        </w:rPr>
        <w:t xml:space="preserve"> of </w:t>
      </w:r>
      <w:r>
        <w:rPr>
          <w:color w:val="000000"/>
          <w:lang w:val="en-NZ"/>
        </w:rPr>
        <w:t xml:space="preserve">the </w:t>
      </w:r>
      <w:r w:rsidRPr="00E43DCF">
        <w:rPr>
          <w:color w:val="000000"/>
          <w:lang w:val="en-NZ"/>
        </w:rPr>
        <w:t xml:space="preserve">design as well as the customers and suppliers. Each group comprises engineers with diverse skills carrying out different activities. </w:t>
      </w:r>
      <w:r>
        <w:rPr>
          <w:color w:val="000000"/>
          <w:lang w:val="en-NZ"/>
        </w:rPr>
        <w:t>Research conducted on</w:t>
      </w:r>
      <w:r w:rsidRPr="00E43DCF">
        <w:rPr>
          <w:color w:val="000000"/>
          <w:lang w:val="en-NZ"/>
        </w:rPr>
        <w:t xml:space="preserve"> </w:t>
      </w:r>
      <w:r>
        <w:rPr>
          <w:color w:val="000000"/>
          <w:lang w:val="en-NZ"/>
        </w:rPr>
        <w:t xml:space="preserve">a group of </w:t>
      </w:r>
      <w:r w:rsidRPr="00E43DCF">
        <w:rPr>
          <w:color w:val="000000"/>
          <w:lang w:val="en-NZ"/>
        </w:rPr>
        <w:t xml:space="preserve">Australian engineering graduates </w:t>
      </w:r>
      <w:r>
        <w:rPr>
          <w:color w:val="000000"/>
          <w:lang w:val="en-NZ"/>
        </w:rPr>
        <w:t>revealed that about sixty percent</w:t>
      </w:r>
      <w:r w:rsidRPr="00E43DCF">
        <w:rPr>
          <w:color w:val="000000"/>
          <w:lang w:val="en-NZ"/>
        </w:rPr>
        <w:t xml:space="preserve"> of the time at work is </w:t>
      </w:r>
      <w:r>
        <w:rPr>
          <w:color w:val="000000"/>
          <w:lang w:val="en-NZ"/>
        </w:rPr>
        <w:t>spent</w:t>
      </w:r>
      <w:r w:rsidRPr="00E43DCF">
        <w:rPr>
          <w:color w:val="000000"/>
          <w:lang w:val="en-NZ"/>
        </w:rPr>
        <w:t xml:space="preserve"> on communications with other people either through written documents</w:t>
      </w:r>
      <w:r>
        <w:rPr>
          <w:color w:val="000000"/>
          <w:lang w:val="en-NZ"/>
        </w:rPr>
        <w:t>,</w:t>
      </w:r>
      <w:r w:rsidRPr="00E43DCF">
        <w:rPr>
          <w:color w:val="000000"/>
          <w:lang w:val="en-NZ"/>
        </w:rPr>
        <w:t xml:space="preserve"> face to face</w:t>
      </w:r>
      <w:r>
        <w:rPr>
          <w:color w:val="000000"/>
          <w:lang w:val="en-NZ"/>
        </w:rPr>
        <w:t>, or</w:t>
      </w:r>
      <w:r w:rsidRPr="00E43DCF">
        <w:rPr>
          <w:color w:val="000000"/>
          <w:lang w:val="en-NZ"/>
        </w:rPr>
        <w:t xml:space="preserve"> </w:t>
      </w:r>
      <w:r>
        <w:rPr>
          <w:color w:val="000000"/>
          <w:lang w:val="en-NZ"/>
        </w:rPr>
        <w:t>over mobile</w:t>
      </w:r>
      <w:r w:rsidRPr="00E43DCF">
        <w:rPr>
          <w:color w:val="000000"/>
          <w:lang w:val="en-NZ"/>
        </w:rPr>
        <w:t xml:space="preserve"> </w:t>
      </w:r>
      <w:r>
        <w:rPr>
          <w:color w:val="000000"/>
          <w:lang w:val="en-NZ"/>
        </w:rPr>
        <w:t xml:space="preserve">phones </w:t>
      </w:r>
      <w:r w:rsidRPr="00E43DCF">
        <w:rPr>
          <w:color w:val="000000"/>
          <w:lang w:val="en-NZ"/>
        </w:rPr>
        <w:t>[</w:t>
      </w:r>
      <w:r>
        <w:rPr>
          <w:color w:val="000000"/>
          <w:lang w:val="en-NZ"/>
        </w:rPr>
        <w:t>4</w:t>
      </w:r>
      <w:r w:rsidRPr="00E43DCF">
        <w:rPr>
          <w:color w:val="000000"/>
          <w:lang w:val="en-NZ"/>
        </w:rPr>
        <w:t>]. More precisely, engineers across all disciplines, spend more than 25% of their time in writing document</w:t>
      </w:r>
      <w:r>
        <w:rPr>
          <w:color w:val="000000"/>
          <w:lang w:val="en-NZ"/>
        </w:rPr>
        <w:t>s</w:t>
      </w:r>
      <w:r w:rsidRPr="00E43DCF">
        <w:rPr>
          <w:color w:val="000000"/>
          <w:lang w:val="en-NZ"/>
        </w:rPr>
        <w:t xml:space="preserve">. </w:t>
      </w:r>
      <w:r>
        <w:rPr>
          <w:color w:val="000000"/>
          <w:lang w:val="en-NZ"/>
        </w:rPr>
        <w:t xml:space="preserve">Engineers in the </w:t>
      </w:r>
      <w:r w:rsidRPr="00E43DCF">
        <w:rPr>
          <w:color w:val="000000"/>
          <w:lang w:val="en-NZ"/>
        </w:rPr>
        <w:t xml:space="preserve">manufacturing </w:t>
      </w:r>
      <w:r>
        <w:rPr>
          <w:color w:val="000000"/>
          <w:lang w:val="en-NZ"/>
        </w:rPr>
        <w:t>industry of Australia</w:t>
      </w:r>
      <w:r w:rsidRPr="00E43DCF">
        <w:rPr>
          <w:color w:val="000000"/>
          <w:lang w:val="en-NZ"/>
        </w:rPr>
        <w:t xml:space="preserve"> </w:t>
      </w:r>
      <w:r>
        <w:rPr>
          <w:color w:val="000000"/>
          <w:lang w:val="en-NZ"/>
        </w:rPr>
        <w:t>have been</w:t>
      </w:r>
      <w:r w:rsidRPr="00E43DCF">
        <w:rPr>
          <w:color w:val="000000"/>
          <w:lang w:val="en-NZ"/>
        </w:rPr>
        <w:t xml:space="preserve"> found </w:t>
      </w:r>
      <w:r>
        <w:rPr>
          <w:color w:val="000000"/>
          <w:lang w:val="en-NZ"/>
        </w:rPr>
        <w:t>to consume more than</w:t>
      </w:r>
      <w:r w:rsidRPr="00E43DCF">
        <w:rPr>
          <w:color w:val="000000"/>
          <w:lang w:val="en-NZ"/>
        </w:rPr>
        <w:t xml:space="preserve"> 70% of their time on documentation-related </w:t>
      </w:r>
      <w:r>
        <w:rPr>
          <w:color w:val="000000"/>
          <w:lang w:val="en-NZ"/>
        </w:rPr>
        <w:t>tasks [5]</w:t>
      </w:r>
      <w:r w:rsidRPr="00E43DCF">
        <w:rPr>
          <w:color w:val="000000"/>
          <w:lang w:val="en-NZ"/>
        </w:rPr>
        <w:t xml:space="preserve">. There are </w:t>
      </w:r>
      <w:r>
        <w:rPr>
          <w:color w:val="000000"/>
          <w:lang w:val="en-NZ"/>
        </w:rPr>
        <w:t>many research</w:t>
      </w:r>
      <w:r w:rsidRPr="00E43DCF">
        <w:rPr>
          <w:color w:val="000000"/>
          <w:lang w:val="en-NZ"/>
        </w:rPr>
        <w:t xml:space="preserve"> studies that have </w:t>
      </w:r>
      <w:r>
        <w:rPr>
          <w:color w:val="000000"/>
          <w:lang w:val="en-NZ"/>
        </w:rPr>
        <w:t>identical</w:t>
      </w:r>
      <w:r w:rsidRPr="00E43DCF">
        <w:rPr>
          <w:color w:val="000000"/>
          <w:lang w:val="en-NZ"/>
        </w:rPr>
        <w:t xml:space="preserve"> </w:t>
      </w:r>
      <w:r>
        <w:rPr>
          <w:color w:val="000000"/>
          <w:lang w:val="en-NZ"/>
        </w:rPr>
        <w:t>findings</w:t>
      </w:r>
      <w:r w:rsidRPr="00E43DCF">
        <w:rPr>
          <w:color w:val="000000"/>
          <w:lang w:val="en-NZ"/>
        </w:rPr>
        <w:t xml:space="preserve"> with the total time </w:t>
      </w:r>
      <w:r>
        <w:rPr>
          <w:color w:val="000000"/>
          <w:lang w:val="en-NZ"/>
        </w:rPr>
        <w:t xml:space="preserve">spent </w:t>
      </w:r>
      <w:r w:rsidRPr="00E43DCF">
        <w:rPr>
          <w:color w:val="000000"/>
          <w:lang w:val="en-NZ"/>
        </w:rPr>
        <w:t xml:space="preserve">on </w:t>
      </w:r>
      <w:r>
        <w:rPr>
          <w:color w:val="000000"/>
          <w:lang w:val="en-NZ"/>
        </w:rPr>
        <w:t>communication activities</w:t>
      </w:r>
      <w:r w:rsidRPr="00E43DCF">
        <w:rPr>
          <w:color w:val="000000"/>
          <w:lang w:val="en-NZ"/>
        </w:rPr>
        <w:t xml:space="preserve"> ranging from 45% to 75% </w:t>
      </w:r>
      <w:r>
        <w:rPr>
          <w:color w:val="000000"/>
          <w:lang w:val="en-NZ"/>
        </w:rPr>
        <w:t>[6</w:t>
      </w:r>
      <w:proofErr w:type="gramStart"/>
      <w:r w:rsidR="00D215CE">
        <w:rPr>
          <w:color w:val="000000"/>
          <w:lang w:val="en-NZ"/>
        </w:rPr>
        <w:t>][</w:t>
      </w:r>
      <w:proofErr w:type="gramEnd"/>
      <w:r>
        <w:rPr>
          <w:color w:val="000000"/>
          <w:lang w:val="en-NZ"/>
        </w:rPr>
        <w:t>7]</w:t>
      </w:r>
      <w:r w:rsidRPr="00E43DCF">
        <w:rPr>
          <w:color w:val="000000"/>
          <w:lang w:val="en-NZ"/>
        </w:rPr>
        <w:t xml:space="preserve">. </w:t>
      </w:r>
    </w:p>
    <w:p w:rsidR="00C45355" w:rsidRPr="00B956AF" w:rsidRDefault="00C45355" w:rsidP="00C45355">
      <w:pPr>
        <w:pStyle w:val="BodyText"/>
        <w:ind w:firstLine="0"/>
        <w:rPr>
          <w:color w:val="000000"/>
          <w:lang w:val="en-NZ"/>
        </w:rPr>
      </w:pPr>
      <w:r>
        <w:rPr>
          <w:color w:val="000000"/>
          <w:lang w:val="en-NZ"/>
        </w:rPr>
        <w:tab/>
      </w:r>
      <w:r>
        <w:t xml:space="preserve">Engineers do a lot more writing than what is assumed by the rest of the world. Efforts of an engineer are not complete until the documentation outweighs the final product. Good writing skills bring a lot of benefits to engineers. It improves their prospects of landing a job as </w:t>
      </w:r>
      <w:r>
        <w:rPr>
          <w:lang w:val="en-US"/>
        </w:rPr>
        <w:t>better</w:t>
      </w:r>
      <w:r>
        <w:t xml:space="preserve"> writing skills help in creating a </w:t>
      </w:r>
      <w:r>
        <w:rPr>
          <w:lang w:val="en-US"/>
        </w:rPr>
        <w:t>convincing</w:t>
      </w:r>
      <w:r>
        <w:t xml:space="preserve"> cover letter</w:t>
      </w:r>
      <w:r>
        <w:rPr>
          <w:lang w:val="en-US"/>
        </w:rPr>
        <w:t xml:space="preserve">. The style of writing </w:t>
      </w:r>
      <w:r>
        <w:t xml:space="preserve">is one of the </w:t>
      </w:r>
      <w:r>
        <w:rPr>
          <w:lang w:val="en-US"/>
        </w:rPr>
        <w:t>main</w:t>
      </w:r>
      <w:r>
        <w:t xml:space="preserve"> factors </w:t>
      </w:r>
      <w:r>
        <w:rPr>
          <w:lang w:val="en-US"/>
        </w:rPr>
        <w:t>affecting</w:t>
      </w:r>
      <w:r>
        <w:t xml:space="preserve"> the decision of hiring experts [1]. Good writing skills also allow them to promote themselves through presenting their work and achievements to the people all over the world through blogging </w:t>
      </w:r>
      <w:r>
        <w:rPr>
          <w:lang w:val="en-US"/>
        </w:rPr>
        <w:t>targeting</w:t>
      </w:r>
      <w:r>
        <w:t xml:space="preserve"> a </w:t>
      </w:r>
      <w:r>
        <w:rPr>
          <w:lang w:val="en-US"/>
        </w:rPr>
        <w:t>large number of</w:t>
      </w:r>
      <w:r>
        <w:t xml:space="preserve"> audience</w:t>
      </w:r>
      <w:r>
        <w:rPr>
          <w:lang w:val="en-US"/>
        </w:rPr>
        <w:t>s</w:t>
      </w:r>
      <w:r>
        <w:t xml:space="preserve"> that require communicating in a </w:t>
      </w:r>
      <w:r>
        <w:rPr>
          <w:lang w:val="en-US"/>
        </w:rPr>
        <w:t>fashion</w:t>
      </w:r>
      <w:r>
        <w:t xml:space="preserve"> that is </w:t>
      </w:r>
      <w:r>
        <w:rPr>
          <w:lang w:val="en-US"/>
        </w:rPr>
        <w:t>not difficult</w:t>
      </w:r>
      <w:r>
        <w:t xml:space="preserve"> to </w:t>
      </w:r>
      <w:r>
        <w:rPr>
          <w:lang w:val="en-US"/>
        </w:rPr>
        <w:t>comprehend</w:t>
      </w:r>
      <w:r>
        <w:t>. It makes it easier to communicate ideas and business case with the management and writing the contents in a compelling fashion convinces them and consequently, secure the job. It also helps engineer creating various documents at the workplace which include system requirements</w:t>
      </w:r>
      <w:r>
        <w:rPr>
          <w:lang w:val="en-US"/>
        </w:rPr>
        <w:t xml:space="preserve">, project </w:t>
      </w:r>
      <w:r>
        <w:t>specifications</w:t>
      </w:r>
      <w:r>
        <w:rPr>
          <w:lang w:val="en-US"/>
        </w:rPr>
        <w:t>,</w:t>
      </w:r>
      <w:r>
        <w:t xml:space="preserve"> technical documentation, warranty restrictions, manuals, and </w:t>
      </w:r>
      <w:r>
        <w:rPr>
          <w:lang w:val="en-US"/>
        </w:rPr>
        <w:t xml:space="preserve">other </w:t>
      </w:r>
      <w:r>
        <w:t xml:space="preserve">documentation intended for third-party users. Writing skills also help in communicating with different divisions in the company such as sales, marketing, and other divisions that are </w:t>
      </w:r>
      <w:r>
        <w:rPr>
          <w:lang w:val="en-US"/>
        </w:rPr>
        <w:t xml:space="preserve">not populated </w:t>
      </w:r>
      <w:r>
        <w:t xml:space="preserve">by </w:t>
      </w:r>
      <w:r>
        <w:rPr>
          <w:lang w:val="en-US"/>
        </w:rPr>
        <w:t xml:space="preserve">engineering or technical </w:t>
      </w:r>
      <w:r>
        <w:t xml:space="preserve">staff. </w:t>
      </w:r>
      <w:r>
        <w:rPr>
          <w:lang w:val="en-US"/>
        </w:rPr>
        <w:t>Most</w:t>
      </w:r>
      <w:r>
        <w:t xml:space="preserve"> of the internal communication </w:t>
      </w:r>
      <w:r>
        <w:rPr>
          <w:lang w:val="en-US"/>
        </w:rPr>
        <w:t>is carried out</w:t>
      </w:r>
      <w:r>
        <w:t xml:space="preserve"> </w:t>
      </w:r>
      <w:r>
        <w:rPr>
          <w:lang w:val="en-US"/>
        </w:rPr>
        <w:t>through</w:t>
      </w:r>
      <w:r>
        <w:t xml:space="preserve"> emails and writing </w:t>
      </w:r>
      <w:r>
        <w:rPr>
          <w:lang w:val="en-US"/>
        </w:rPr>
        <w:t>proficiency</w:t>
      </w:r>
      <w:r>
        <w:t xml:space="preserve"> </w:t>
      </w:r>
      <w:r>
        <w:rPr>
          <w:lang w:val="en-US"/>
        </w:rPr>
        <w:t>helps</w:t>
      </w:r>
      <w:r>
        <w:t xml:space="preserve"> </w:t>
      </w:r>
      <w:r>
        <w:rPr>
          <w:lang w:val="en-US"/>
        </w:rPr>
        <w:t>produce</w:t>
      </w:r>
      <w:r>
        <w:t xml:space="preserve"> </w:t>
      </w:r>
      <w:r>
        <w:rPr>
          <w:lang w:val="en-US"/>
        </w:rPr>
        <w:t>lucid</w:t>
      </w:r>
      <w:r>
        <w:t xml:space="preserve"> emails </w:t>
      </w:r>
      <w:r>
        <w:rPr>
          <w:lang w:val="en-US"/>
        </w:rPr>
        <w:t>that</w:t>
      </w:r>
      <w:r>
        <w:t xml:space="preserve"> make the job </w:t>
      </w:r>
      <w:r>
        <w:rPr>
          <w:lang w:val="en-US"/>
        </w:rPr>
        <w:t xml:space="preserve">of colleagues </w:t>
      </w:r>
      <w:r>
        <w:t xml:space="preserve">easier. </w:t>
      </w:r>
      <w:r>
        <w:rPr>
          <w:lang w:val="en-NZ"/>
        </w:rPr>
        <w:t>When communicating at the job, d</w:t>
      </w:r>
      <w:proofErr w:type="spellStart"/>
      <w:r>
        <w:rPr>
          <w:lang w:val="en-US"/>
        </w:rPr>
        <w:t>e</w:t>
      </w:r>
      <w:r w:rsidR="00D22320">
        <w:rPr>
          <w:lang w:val="en-US"/>
        </w:rPr>
        <w:t>f</w:t>
      </w:r>
      <w:r>
        <w:rPr>
          <w:lang w:val="en-US"/>
        </w:rPr>
        <w:t>iciency</w:t>
      </w:r>
      <w:proofErr w:type="spellEnd"/>
      <w:r>
        <w:rPr>
          <w:lang w:val="en-US"/>
        </w:rPr>
        <w:t xml:space="preserve"> in </w:t>
      </w:r>
      <w:r>
        <w:t>writ</w:t>
      </w:r>
      <w:r>
        <w:rPr>
          <w:lang w:val="en-NZ"/>
        </w:rPr>
        <w:t>ing</w:t>
      </w:r>
      <w:r>
        <w:t xml:space="preserve"> skills </w:t>
      </w:r>
      <w:r>
        <w:rPr>
          <w:lang w:val="en-US"/>
        </w:rPr>
        <w:t>may</w:t>
      </w:r>
      <w:r>
        <w:t xml:space="preserve"> also have </w:t>
      </w:r>
      <w:r>
        <w:rPr>
          <w:lang w:val="en-US"/>
        </w:rPr>
        <w:t>detrimental</w:t>
      </w:r>
      <w:r>
        <w:t xml:space="preserve"> impacts on </w:t>
      </w:r>
      <w:r>
        <w:rPr>
          <w:lang w:val="en-US"/>
        </w:rPr>
        <w:t xml:space="preserve">the levels of </w:t>
      </w:r>
      <w:r>
        <w:t xml:space="preserve">stress, deadlines, and </w:t>
      </w:r>
      <w:r>
        <w:rPr>
          <w:lang w:val="en-US"/>
        </w:rPr>
        <w:t>well-being</w:t>
      </w:r>
      <w:r>
        <w:t xml:space="preserve"> that </w:t>
      </w:r>
      <w:r>
        <w:rPr>
          <w:lang w:val="en-US"/>
        </w:rPr>
        <w:t>may result in failure to interpret others work</w:t>
      </w:r>
      <w:r>
        <w:t xml:space="preserve"> </w:t>
      </w:r>
      <w:r>
        <w:rPr>
          <w:lang w:val="en-US"/>
        </w:rPr>
        <w:t xml:space="preserve">that disastrously </w:t>
      </w:r>
      <w:r>
        <w:t>affect</w:t>
      </w:r>
      <w:r>
        <w:rPr>
          <w:lang w:val="en-NZ"/>
        </w:rPr>
        <w:t>s</w:t>
      </w:r>
      <w:r>
        <w:t xml:space="preserve"> the </w:t>
      </w:r>
      <w:r>
        <w:rPr>
          <w:lang w:val="en-US"/>
        </w:rPr>
        <w:t xml:space="preserve">ability to solve the </w:t>
      </w:r>
      <w:r>
        <w:t>problem resulting in inefficiency at work [8].</w:t>
      </w:r>
    </w:p>
    <w:p w:rsidR="00C45355" w:rsidRPr="00F246B6" w:rsidRDefault="00C45355" w:rsidP="00C45355">
      <w:pPr>
        <w:pStyle w:val="BodyText"/>
        <w:rPr>
          <w:rStyle w:val="mceitemhidden"/>
          <w:lang w:val="en-NZ" w:eastAsia="en-NZ"/>
        </w:rPr>
      </w:pPr>
      <w:r>
        <w:rPr>
          <w:rStyle w:val="mceitemhidden"/>
          <w:color w:val="000000"/>
        </w:rPr>
        <w:t xml:space="preserve">Engineers often find it hard to </w:t>
      </w:r>
      <w:r>
        <w:rPr>
          <w:rStyle w:val="mceitemhidden"/>
          <w:color w:val="000000"/>
          <w:lang w:val="en-US"/>
        </w:rPr>
        <w:t>manifest</w:t>
      </w:r>
      <w:r>
        <w:rPr>
          <w:rStyle w:val="mceitemhidden"/>
          <w:color w:val="000000"/>
        </w:rPr>
        <w:t xml:space="preserve"> themselves </w:t>
      </w:r>
      <w:r>
        <w:rPr>
          <w:rStyle w:val="mceitemhidden"/>
          <w:color w:val="000000"/>
          <w:lang w:val="en-US"/>
        </w:rPr>
        <w:t>succinctly</w:t>
      </w:r>
      <w:r>
        <w:rPr>
          <w:rStyle w:val="mceitemhidden"/>
          <w:color w:val="000000"/>
        </w:rPr>
        <w:t xml:space="preserve"> and logically </w:t>
      </w:r>
      <w:r>
        <w:rPr>
          <w:rStyle w:val="mceitemhidden"/>
          <w:color w:val="000000"/>
          <w:lang w:val="en-US"/>
        </w:rPr>
        <w:t>through</w:t>
      </w:r>
      <w:r>
        <w:rPr>
          <w:rStyle w:val="mceitemhidden"/>
          <w:color w:val="000000"/>
        </w:rPr>
        <w:t xml:space="preserve"> English text as they </w:t>
      </w:r>
      <w:r>
        <w:rPr>
          <w:rStyle w:val="mceitemhidden"/>
          <w:color w:val="000000"/>
          <w:lang w:val="en-US"/>
        </w:rPr>
        <w:t>deal</w:t>
      </w:r>
      <w:r>
        <w:rPr>
          <w:rStyle w:val="mceitemhidden"/>
          <w:color w:val="000000"/>
        </w:rPr>
        <w:t xml:space="preserve"> with mathematical derivations, equations, and programming</w:t>
      </w:r>
      <w:r>
        <w:rPr>
          <w:rStyle w:val="mceitemhidden"/>
          <w:color w:val="000000"/>
          <w:lang w:val="en-US"/>
        </w:rPr>
        <w:t xml:space="preserve"> </w:t>
      </w:r>
      <w:r>
        <w:rPr>
          <w:rStyle w:val="mceitemhidden"/>
          <w:color w:val="000000"/>
        </w:rPr>
        <w:t>most of the time. As a result, students get </w:t>
      </w:r>
      <w:r>
        <w:rPr>
          <w:rStyle w:val="hiddensuggestion"/>
          <w:color w:val="000000"/>
        </w:rPr>
        <w:t>proficiency</w:t>
      </w:r>
      <w:r>
        <w:rPr>
          <w:rStyle w:val="mceitemhidden"/>
          <w:color w:val="000000"/>
        </w:rPr>
        <w:t> in writing mathematical equations and expression</w:t>
      </w:r>
      <w:r>
        <w:rPr>
          <w:rStyle w:val="mceitemhidden"/>
          <w:color w:val="000000"/>
          <w:lang w:val="en-NZ"/>
        </w:rPr>
        <w:t>s</w:t>
      </w:r>
      <w:r>
        <w:rPr>
          <w:rStyle w:val="mceitemhidden"/>
          <w:color w:val="000000"/>
        </w:rPr>
        <w:t xml:space="preserve"> where the logic </w:t>
      </w:r>
      <w:r>
        <w:rPr>
          <w:rStyle w:val="hiddengrammarerror"/>
          <w:color w:val="000000"/>
        </w:rPr>
        <w:t>is embedded</w:t>
      </w:r>
      <w:r>
        <w:rPr>
          <w:rStyle w:val="mceitemhidden"/>
          <w:color w:val="000000"/>
        </w:rPr>
        <w:t xml:space="preserve"> in the language itself but in </w:t>
      </w:r>
      <w:r>
        <w:rPr>
          <w:rStyle w:val="mceitemhidden"/>
          <w:color w:val="000000"/>
          <w:lang w:val="en-NZ"/>
        </w:rPr>
        <w:t xml:space="preserve">the </w:t>
      </w:r>
      <w:r>
        <w:rPr>
          <w:rStyle w:val="mceitemhidden"/>
          <w:color w:val="000000"/>
        </w:rPr>
        <w:t xml:space="preserve">real-world </w:t>
      </w:r>
      <w:r>
        <w:rPr>
          <w:rStyle w:val="mceitemhidden"/>
          <w:color w:val="000000"/>
          <w:lang w:val="en-US"/>
        </w:rPr>
        <w:t>it</w:t>
      </w:r>
      <w:r>
        <w:rPr>
          <w:rStyle w:val="mceitemhidden"/>
          <w:color w:val="000000"/>
        </w:rPr>
        <w:t xml:space="preserve"> has </w:t>
      </w:r>
      <w:r>
        <w:rPr>
          <w:rStyle w:val="hiddengrammarerror"/>
          <w:color w:val="000000"/>
        </w:rPr>
        <w:t xml:space="preserve">to </w:t>
      </w:r>
      <w:r>
        <w:rPr>
          <w:rStyle w:val="hiddengrammarerror"/>
          <w:color w:val="000000"/>
        </w:rPr>
        <w:lastRenderedPageBreak/>
        <w:t>be</w:t>
      </w:r>
      <w:r>
        <w:rPr>
          <w:rStyle w:val="mceitemhidden"/>
          <w:color w:val="000000"/>
        </w:rPr>
        <w:t> </w:t>
      </w:r>
      <w:r>
        <w:rPr>
          <w:rStyle w:val="mceitemhidden"/>
          <w:color w:val="000000"/>
          <w:lang w:val="en-US"/>
        </w:rPr>
        <w:t>elucidated</w:t>
      </w:r>
      <w:r>
        <w:rPr>
          <w:rStyle w:val="mceitemhidden"/>
          <w:color w:val="000000"/>
        </w:rPr>
        <w:t xml:space="preserve"> using the words. Writing concisely and logically about the real-world concepts in English is </w:t>
      </w:r>
      <w:r>
        <w:rPr>
          <w:rStyle w:val="mceitemhidden"/>
          <w:color w:val="000000"/>
          <w:lang w:val="en-US"/>
        </w:rPr>
        <w:t>a</w:t>
      </w:r>
      <w:r>
        <w:rPr>
          <w:rStyle w:val="mceitemhidden"/>
          <w:color w:val="000000"/>
        </w:rPr>
        <w:t xml:space="preserve"> different </w:t>
      </w:r>
      <w:r>
        <w:rPr>
          <w:rStyle w:val="mceitemhidden"/>
          <w:color w:val="000000"/>
          <w:lang w:val="en-US"/>
        </w:rPr>
        <w:t>art</w:t>
      </w:r>
      <w:r>
        <w:rPr>
          <w:rStyle w:val="mceitemhidden"/>
          <w:color w:val="000000"/>
        </w:rPr>
        <w:t xml:space="preserve"> </w:t>
      </w:r>
      <w:r>
        <w:rPr>
          <w:rStyle w:val="mceitemhidden"/>
          <w:color w:val="000000"/>
          <w:lang w:val="en-US"/>
        </w:rPr>
        <w:t xml:space="preserve">altogether </w:t>
      </w:r>
      <w:r>
        <w:rPr>
          <w:rStyle w:val="mceitemhidden"/>
          <w:color w:val="000000"/>
        </w:rPr>
        <w:t xml:space="preserve">which is </w:t>
      </w:r>
      <w:r>
        <w:rPr>
          <w:rStyle w:val="mceitemhidden"/>
          <w:color w:val="000000"/>
          <w:lang w:val="en-US"/>
        </w:rPr>
        <w:t>hard</w:t>
      </w:r>
      <w:r>
        <w:rPr>
          <w:rStyle w:val="mceitemhidden"/>
          <w:color w:val="000000"/>
        </w:rPr>
        <w:t xml:space="preserve"> to master and engineers are no better than the majority of other people [9]. They feel </w:t>
      </w:r>
      <w:r>
        <w:rPr>
          <w:rStyle w:val="mceitemhidden"/>
          <w:color w:val="000000"/>
          <w:lang w:val="en-US"/>
        </w:rPr>
        <w:t>confronted</w:t>
      </w:r>
      <w:r>
        <w:rPr>
          <w:rStyle w:val="mceitemhidden"/>
          <w:color w:val="000000"/>
        </w:rPr>
        <w:t xml:space="preserve"> when it comes to the </w:t>
      </w:r>
      <w:r>
        <w:rPr>
          <w:rStyle w:val="mceitemhidden"/>
          <w:color w:val="000000"/>
          <w:lang w:val="en-US"/>
        </w:rPr>
        <w:t>written text</w:t>
      </w:r>
      <w:r>
        <w:rPr>
          <w:rStyle w:val="mceitemhidden"/>
          <w:color w:val="000000"/>
        </w:rPr>
        <w:t xml:space="preserve"> and often find themselves </w:t>
      </w:r>
      <w:r>
        <w:rPr>
          <w:rStyle w:val="mceitemhidden"/>
          <w:color w:val="000000"/>
          <w:lang w:val="en-US"/>
        </w:rPr>
        <w:t>distressed</w:t>
      </w:r>
      <w:r>
        <w:rPr>
          <w:rStyle w:val="mceitemhidden"/>
          <w:color w:val="000000"/>
        </w:rPr>
        <w:t xml:space="preserve"> when they present </w:t>
      </w:r>
      <w:r>
        <w:rPr>
          <w:rStyle w:val="mceitemhidden"/>
          <w:color w:val="000000"/>
          <w:lang w:val="en-US"/>
        </w:rPr>
        <w:t>rational</w:t>
      </w:r>
      <w:r>
        <w:rPr>
          <w:rStyle w:val="mceitemhidden"/>
          <w:color w:val="000000"/>
        </w:rPr>
        <w:t xml:space="preserve"> arguments to the decision-makers who are often good at </w:t>
      </w:r>
      <w:r>
        <w:rPr>
          <w:rStyle w:val="mceitemhidden"/>
          <w:color w:val="000000"/>
          <w:lang w:val="en-US"/>
        </w:rPr>
        <w:t>it</w:t>
      </w:r>
      <w:r>
        <w:rPr>
          <w:rStyle w:val="mceitemhidden"/>
          <w:color w:val="000000"/>
        </w:rPr>
        <w:t xml:space="preserve"> [10]. Many engineers need to master the </w:t>
      </w:r>
      <w:r>
        <w:rPr>
          <w:rStyle w:val="mceitemhidden"/>
          <w:color w:val="000000"/>
          <w:lang w:val="en-US"/>
        </w:rPr>
        <w:t>art of</w:t>
      </w:r>
      <w:r>
        <w:rPr>
          <w:rStyle w:val="mceitemhidden"/>
          <w:color w:val="000000"/>
        </w:rPr>
        <w:t xml:space="preserve"> reason</w:t>
      </w:r>
      <w:r>
        <w:rPr>
          <w:rStyle w:val="mceitemhidden"/>
          <w:color w:val="000000"/>
          <w:lang w:val="en-US"/>
        </w:rPr>
        <w:t>ing in a</w:t>
      </w:r>
      <w:r>
        <w:rPr>
          <w:rStyle w:val="mceitemhidden"/>
          <w:color w:val="000000"/>
        </w:rPr>
        <w:t xml:space="preserve"> concise and logical</w:t>
      </w:r>
      <w:r>
        <w:rPr>
          <w:rStyle w:val="mceitemhidden"/>
          <w:color w:val="000000"/>
          <w:lang w:val="en-US"/>
        </w:rPr>
        <w:t xml:space="preserve"> way </w:t>
      </w:r>
      <w:r>
        <w:rPr>
          <w:rStyle w:val="mceitemhidden"/>
          <w:color w:val="000000"/>
        </w:rPr>
        <w:t>using the language </w:t>
      </w:r>
      <w:r>
        <w:rPr>
          <w:rStyle w:val="hiddengrammarerror"/>
          <w:color w:val="000000"/>
        </w:rPr>
        <w:t>their</w:t>
      </w:r>
      <w:r>
        <w:rPr>
          <w:rStyle w:val="mceitemhidden"/>
          <w:color w:val="000000"/>
        </w:rPr>
        <w:t xml:space="preserve"> audience can understand. Furthermore, engineers produce many kinds of writing during their academic as well as professional writing which includes: notes during class sessions, lab reports, written assignments, term papers, e-mails, presentations, memos, proposals, and messages for which students have </w:t>
      </w:r>
      <w:r>
        <w:rPr>
          <w:rStyle w:val="mceitemhidden"/>
          <w:color w:val="000000"/>
          <w:lang w:val="en-US"/>
        </w:rPr>
        <w:t>specific goals</w:t>
      </w:r>
      <w:r>
        <w:rPr>
          <w:rStyle w:val="mceitemhidden"/>
          <w:color w:val="000000"/>
        </w:rPr>
        <w:t xml:space="preserve"> and audience </w:t>
      </w:r>
      <w:r>
        <w:rPr>
          <w:rStyle w:val="mceitemhidden"/>
          <w:color w:val="000000"/>
          <w:lang w:val="en-US"/>
        </w:rPr>
        <w:t xml:space="preserve">for writing </w:t>
      </w:r>
      <w:r>
        <w:rPr>
          <w:rStyle w:val="mceitemhidden"/>
          <w:color w:val="000000"/>
        </w:rPr>
        <w:t>[11].</w:t>
      </w:r>
    </w:p>
    <w:p w:rsidR="00C45355" w:rsidRDefault="00C45355" w:rsidP="00C45355">
      <w:pPr>
        <w:pStyle w:val="BodyText"/>
      </w:pPr>
      <w:r>
        <w:t xml:space="preserve">Therefore, </w:t>
      </w:r>
      <w:r>
        <w:rPr>
          <w:lang w:val="en-NZ"/>
        </w:rPr>
        <w:t>academicians</w:t>
      </w:r>
      <w:r>
        <w:t xml:space="preserve"> should help students to learn the specialized register of the engineering profession which </w:t>
      </w:r>
      <w:r>
        <w:rPr>
          <w:lang w:val="en-NZ"/>
        </w:rPr>
        <w:t>will help them to become successful professionals</w:t>
      </w:r>
      <w:r>
        <w:t xml:space="preserve">. This also increases access to the information and also the ability to participate in varying communities. This is an important skill that needs attention for smoothing the critical transition phase of students from undergraduate education to either the graduate school </w:t>
      </w:r>
      <w:r>
        <w:rPr>
          <w:lang w:val="en-US"/>
        </w:rPr>
        <w:t xml:space="preserve">or </w:t>
      </w:r>
      <w:r>
        <w:t>workforce. Undergraduate level engineering courses do not really target to develop this capacity in the students.</w:t>
      </w:r>
    </w:p>
    <w:p w:rsidR="00C45355" w:rsidRDefault="00C45355" w:rsidP="00C45355">
      <w:pPr>
        <w:pStyle w:val="BodyText"/>
      </w:pPr>
      <w:r w:rsidRPr="002C3DC8">
        <w:t>In addition, engineers need to use v</w:t>
      </w:r>
      <w:r>
        <w:t>arious methods to communicate with</w:t>
      </w:r>
      <w:r w:rsidRPr="002C3DC8">
        <w:t xml:space="preserve"> the rest of the world, such as emails, blogs, commercials, surveys, budget requests, plans, manuals, FAQs, etc.</w:t>
      </w:r>
      <w:r>
        <w:rPr>
          <w:lang w:val="en-US"/>
        </w:rPr>
        <w:t xml:space="preserve"> </w:t>
      </w:r>
      <w:r>
        <w:t xml:space="preserve">In order to do it effectively, they should be able to convince the customers otherwise they </w:t>
      </w:r>
      <w:r>
        <w:rPr>
          <w:lang w:val="en-US"/>
        </w:rPr>
        <w:t>obfuscate the</w:t>
      </w:r>
      <w:r>
        <w:t xml:space="preserve"> customers and end-users alike. The inability to write for a non-technical audience can dramatically limit the audience. The whole </w:t>
      </w:r>
      <w:r>
        <w:rPr>
          <w:lang w:val="en-US"/>
        </w:rPr>
        <w:t>idea</w:t>
      </w:r>
      <w:r>
        <w:t xml:space="preserve"> is to make everything </w:t>
      </w:r>
      <w:r>
        <w:rPr>
          <w:lang w:val="en-US"/>
        </w:rPr>
        <w:t>intelligible</w:t>
      </w:r>
      <w:r>
        <w:t xml:space="preserve"> for your client. Therefore, when writing, it is important to keep audiences in mind as they are persons who actually be reading your document, or receiving your emails. Engineers usually make the mistake of ignoring the audience. They have to write different documents which are read by the different audiences. Therefore, it is </w:t>
      </w:r>
      <w:r>
        <w:rPr>
          <w:lang w:val="en-NZ"/>
        </w:rPr>
        <w:t>essential</w:t>
      </w:r>
      <w:r>
        <w:t xml:space="preserve"> to keep </w:t>
      </w:r>
      <w:r>
        <w:rPr>
          <w:lang w:val="en-NZ"/>
        </w:rPr>
        <w:t xml:space="preserve">the </w:t>
      </w:r>
      <w:r>
        <w:t xml:space="preserve">audience top of mind as it will change the way </w:t>
      </w:r>
      <w:r>
        <w:rPr>
          <w:lang w:val="en-NZ"/>
        </w:rPr>
        <w:t>of</w:t>
      </w:r>
      <w:r>
        <w:t xml:space="preserve"> writing the document. A good document is the result of a complex process that factors in readers and their knowledge. In industry, engineers are required to write for a large, diverse audience all with different informational needs and expectations for a report. Sometimes the complexity of </w:t>
      </w:r>
      <w:r>
        <w:rPr>
          <w:lang w:val="en-US"/>
        </w:rPr>
        <w:t>the</w:t>
      </w:r>
      <w:r>
        <w:t xml:space="preserve"> idea could not be </w:t>
      </w:r>
      <w:r>
        <w:rPr>
          <w:lang w:val="en-US"/>
        </w:rPr>
        <w:t>comprehended</w:t>
      </w:r>
      <w:r>
        <w:t xml:space="preserve"> by non-technical personnel </w:t>
      </w:r>
      <w:r>
        <w:rPr>
          <w:lang w:val="en-US"/>
        </w:rPr>
        <w:t>if written in a manner</w:t>
      </w:r>
      <w:r>
        <w:t xml:space="preserve"> that is </w:t>
      </w:r>
      <w:r>
        <w:rPr>
          <w:lang w:val="en-US"/>
        </w:rPr>
        <w:t>hard</w:t>
      </w:r>
      <w:r>
        <w:t xml:space="preserve"> to understand. They are likely to be much less</w:t>
      </w:r>
      <w:r>
        <w:rPr>
          <w:lang w:val="en-NZ"/>
        </w:rPr>
        <w:t xml:space="preserve"> </w:t>
      </w:r>
      <w:r>
        <w:rPr>
          <w:lang w:val="en-US"/>
        </w:rPr>
        <w:t>conversant</w:t>
      </w:r>
      <w:r>
        <w:t xml:space="preserve"> with the technical details and they may act on, or be affected by, the report. The students</w:t>
      </w:r>
      <w:r>
        <w:rPr>
          <w:lang w:val="en-NZ"/>
        </w:rPr>
        <w:t>’</w:t>
      </w:r>
      <w:r>
        <w:t xml:space="preserve"> ability to explain the concepts in an easily understandable language is also an indication of the fact that </w:t>
      </w:r>
      <w:proofErr w:type="spellStart"/>
      <w:r>
        <w:rPr>
          <w:lang w:val="en-NZ"/>
        </w:rPr>
        <w:t>t</w:t>
      </w:r>
      <w:r>
        <w:t>he</w:t>
      </w:r>
      <w:r>
        <w:rPr>
          <w:lang w:val="en-NZ"/>
        </w:rPr>
        <w:t>y</w:t>
      </w:r>
      <w:proofErr w:type="spellEnd"/>
      <w:r>
        <w:t xml:space="preserve"> have a good grasp of the subject. If a student is unable to explain a complex technical concept in non-technical terms, his </w:t>
      </w:r>
      <w:r>
        <w:rPr>
          <w:lang w:val="en-NZ"/>
        </w:rPr>
        <w:t xml:space="preserve">or her </w:t>
      </w:r>
      <w:r>
        <w:t>understanding of the technical concepts may be questioned.  Also, the business cases are presented to the people who do not have much technical background and it is important to communicate the benefits of the proposed project or idea to the management in an effective way which is easy to understand.</w:t>
      </w:r>
    </w:p>
    <w:p w:rsidR="00C45355" w:rsidRPr="00F246B6" w:rsidRDefault="00C45355" w:rsidP="00C45355">
      <w:pPr>
        <w:pStyle w:val="BodyText"/>
      </w:pPr>
      <w:r>
        <w:t>This small-scale study reported here contributes to our engineering communication awareness by providing information about engineering students’ ability to write while keeping in view the audiences. It was motivated by the research questions:</w:t>
      </w:r>
      <w:r>
        <w:rPr>
          <w:lang w:val="en-NZ"/>
        </w:rPr>
        <w:t xml:space="preserve"> </w:t>
      </w:r>
      <w:r>
        <w:t xml:space="preserve">Do undergraduate students have the ability </w:t>
      </w:r>
      <w:r>
        <w:t>to write for non-technical audiences?</w:t>
      </w:r>
      <w:r>
        <w:rPr>
          <w:lang w:val="en-NZ"/>
        </w:rPr>
        <w:t xml:space="preserve"> In other words, can they adapt the tone of their writing according to the audiences? </w:t>
      </w:r>
      <w:r>
        <w:rPr>
          <w:color w:val="000000"/>
          <w:lang w:val="en-NZ"/>
        </w:rPr>
        <w:tab/>
      </w:r>
      <w:r w:rsidRPr="00E43DCF">
        <w:rPr>
          <w:color w:val="000000"/>
        </w:rPr>
        <w:t xml:space="preserve"> </w:t>
      </w:r>
    </w:p>
    <w:p w:rsidR="00C45355" w:rsidRPr="00D632BE" w:rsidRDefault="00C45355" w:rsidP="00C45355">
      <w:pPr>
        <w:pStyle w:val="Heading1"/>
        <w:ind w:firstLine="216"/>
      </w:pPr>
      <w:r>
        <w:t>Theoretical Framework</w:t>
      </w:r>
    </w:p>
    <w:p w:rsidR="00C45355" w:rsidRDefault="00C45355" w:rsidP="00C45355">
      <w:pPr>
        <w:pStyle w:val="BodyText"/>
        <w:rPr>
          <w:color w:val="538135"/>
          <w:lang w:val="en-NZ"/>
        </w:rPr>
      </w:pPr>
      <w:r w:rsidRPr="00E43DCF">
        <w:rPr>
          <w:color w:val="000000"/>
          <w:lang w:val="en-NZ"/>
        </w:rPr>
        <w:t xml:space="preserve">There is a trend of incorporating more and more writing exercises to support </w:t>
      </w:r>
      <w:r>
        <w:rPr>
          <w:color w:val="000000"/>
          <w:lang w:val="en-NZ"/>
        </w:rPr>
        <w:t>a broad range</w:t>
      </w:r>
      <w:r w:rsidRPr="00E43DCF">
        <w:rPr>
          <w:color w:val="000000"/>
          <w:lang w:val="en-NZ"/>
        </w:rPr>
        <w:t xml:space="preserve"> of learning outcomes. </w:t>
      </w:r>
      <w:r>
        <w:rPr>
          <w:color w:val="000000"/>
          <w:lang w:val="en-NZ"/>
        </w:rPr>
        <w:t>These exercises</w:t>
      </w:r>
      <w:r w:rsidRPr="00E43DCF">
        <w:rPr>
          <w:color w:val="000000"/>
          <w:lang w:val="en-NZ"/>
        </w:rPr>
        <w:t xml:space="preserve"> are used to </w:t>
      </w:r>
      <w:r>
        <w:rPr>
          <w:color w:val="000000"/>
          <w:lang w:val="en-NZ"/>
        </w:rPr>
        <w:t>reach</w:t>
      </w:r>
      <w:r w:rsidRPr="00E43DCF">
        <w:rPr>
          <w:color w:val="000000"/>
          <w:lang w:val="en-NZ"/>
        </w:rPr>
        <w:t xml:space="preserve"> </w:t>
      </w:r>
      <w:r>
        <w:rPr>
          <w:color w:val="000000"/>
          <w:lang w:val="en-NZ"/>
        </w:rPr>
        <w:t xml:space="preserve">a </w:t>
      </w:r>
      <w:r w:rsidRPr="00E43DCF">
        <w:rPr>
          <w:color w:val="000000"/>
          <w:lang w:val="en-NZ"/>
        </w:rPr>
        <w:t xml:space="preserve">deeper level of understanding, enhance students’ </w:t>
      </w:r>
      <w:r>
        <w:rPr>
          <w:color w:val="000000"/>
          <w:lang w:val="en-NZ"/>
        </w:rPr>
        <w:t xml:space="preserve">abilities of critical thinking, </w:t>
      </w:r>
      <w:r w:rsidRPr="00E43DCF">
        <w:rPr>
          <w:color w:val="000000"/>
          <w:lang w:val="en-NZ"/>
        </w:rPr>
        <w:t xml:space="preserve">identify learning bottlenecks and misconceptions, and assess student learning in ways </w:t>
      </w:r>
      <w:r>
        <w:rPr>
          <w:color w:val="000000"/>
          <w:lang w:val="en-NZ"/>
        </w:rPr>
        <w:t>which is not possible to achieve</w:t>
      </w:r>
      <w:r w:rsidRPr="00E43DCF">
        <w:rPr>
          <w:color w:val="000000"/>
          <w:lang w:val="en-NZ"/>
        </w:rPr>
        <w:t xml:space="preserve"> with simp</w:t>
      </w:r>
      <w:r>
        <w:rPr>
          <w:color w:val="000000"/>
          <w:lang w:val="en-NZ"/>
        </w:rPr>
        <w:t>le calculation-based questions [12]</w:t>
      </w:r>
      <w:r w:rsidRPr="00E43DCF">
        <w:rPr>
          <w:color w:val="000000"/>
          <w:lang w:val="en-NZ"/>
        </w:rPr>
        <w:t xml:space="preserve">. These </w:t>
      </w:r>
      <w:r>
        <w:rPr>
          <w:color w:val="000000"/>
          <w:lang w:val="en-NZ"/>
        </w:rPr>
        <w:t xml:space="preserve">in-class writing exercises </w:t>
      </w:r>
      <w:r w:rsidRPr="00E43DCF">
        <w:rPr>
          <w:color w:val="000000"/>
          <w:lang w:val="en-NZ"/>
        </w:rPr>
        <w:t xml:space="preserve">are aligned with the broader Writing </w:t>
      </w:r>
      <w:proofErr w:type="gramStart"/>
      <w:r w:rsidRPr="00E43DCF">
        <w:rPr>
          <w:color w:val="000000"/>
          <w:lang w:val="en-NZ"/>
        </w:rPr>
        <w:t>Across</w:t>
      </w:r>
      <w:proofErr w:type="gramEnd"/>
      <w:r w:rsidRPr="00E43DCF">
        <w:rPr>
          <w:color w:val="000000"/>
          <w:lang w:val="en-NZ"/>
        </w:rPr>
        <w:t xml:space="preserve"> the Curriculum (WAC) movements</w:t>
      </w:r>
      <w:r>
        <w:rPr>
          <w:color w:val="000000"/>
          <w:lang w:val="en-NZ"/>
        </w:rPr>
        <w:t xml:space="preserve"> [13] according to which </w:t>
      </w:r>
      <w:r w:rsidRPr="00741BE0">
        <w:rPr>
          <w:color w:val="000000"/>
          <w:lang w:val="en-NZ"/>
        </w:rPr>
        <w:t xml:space="preserve">writing is the obligation of the </w:t>
      </w:r>
      <w:r>
        <w:rPr>
          <w:color w:val="000000"/>
          <w:lang w:val="en-NZ"/>
        </w:rPr>
        <w:t xml:space="preserve">people belonging to academia. Also, </w:t>
      </w:r>
      <w:r w:rsidRPr="00741BE0">
        <w:rPr>
          <w:color w:val="000000"/>
          <w:lang w:val="en-NZ"/>
        </w:rPr>
        <w:t xml:space="preserve">writing instruction must be continued </w:t>
      </w:r>
      <w:r>
        <w:rPr>
          <w:color w:val="000000"/>
          <w:lang w:val="en-NZ"/>
        </w:rPr>
        <w:t>throughout</w:t>
      </w:r>
      <w:r w:rsidRPr="00741BE0">
        <w:rPr>
          <w:color w:val="000000"/>
          <w:lang w:val="en-NZ"/>
        </w:rPr>
        <w:t xml:space="preserve"> undergraduate education</w:t>
      </w:r>
      <w:r>
        <w:rPr>
          <w:color w:val="000000"/>
          <w:lang w:val="en-NZ"/>
        </w:rPr>
        <w:t xml:space="preserve"> as it encourages learning.</w:t>
      </w:r>
      <w:r w:rsidRPr="00741BE0">
        <w:rPr>
          <w:color w:val="000000"/>
          <w:lang w:val="en-NZ"/>
        </w:rPr>
        <w:t xml:space="preserve"> </w:t>
      </w:r>
      <w:r w:rsidRPr="006551F2">
        <w:rPr>
          <w:color w:val="000000"/>
          <w:lang w:val="en-NZ"/>
        </w:rPr>
        <w:t xml:space="preserve">Writing assignments are </w:t>
      </w:r>
      <w:r>
        <w:rPr>
          <w:color w:val="000000"/>
          <w:lang w:val="en-NZ"/>
        </w:rPr>
        <w:t xml:space="preserve">designed to support </w:t>
      </w:r>
      <w:r w:rsidRPr="006551F2">
        <w:rPr>
          <w:color w:val="000000"/>
          <w:lang w:val="en-NZ"/>
        </w:rPr>
        <w:t>the goals of Writing in the Disciplines (WID)</w:t>
      </w:r>
      <w:r>
        <w:rPr>
          <w:color w:val="000000"/>
          <w:lang w:val="en-NZ"/>
        </w:rPr>
        <w:t xml:space="preserve"> as it is aimed to</w:t>
      </w:r>
      <w:r w:rsidRPr="006551F2">
        <w:rPr>
          <w:color w:val="000000"/>
          <w:lang w:val="en-NZ"/>
        </w:rPr>
        <w:t xml:space="preserve"> gain familiarity with genres </w:t>
      </w:r>
      <w:r>
        <w:rPr>
          <w:color w:val="000000"/>
          <w:lang w:val="en-NZ"/>
        </w:rPr>
        <w:t xml:space="preserve">and it </w:t>
      </w:r>
      <w:r w:rsidRPr="006551F2">
        <w:rPr>
          <w:color w:val="000000"/>
          <w:lang w:val="en-NZ"/>
        </w:rPr>
        <w:t>is used by a large number of WAC programs</w:t>
      </w:r>
      <w:r>
        <w:rPr>
          <w:color w:val="000000"/>
          <w:lang w:val="en-NZ"/>
        </w:rPr>
        <w:t>, although not precisely as our writing pieces are very short. The writing assignment is combined with Writing to Engage (WTE) as it allows students to practice</w:t>
      </w:r>
      <w:r w:rsidRPr="006551F2">
        <w:rPr>
          <w:color w:val="000000"/>
          <w:lang w:val="en-NZ"/>
        </w:rPr>
        <w:t xml:space="preserve"> critical thinking</w:t>
      </w:r>
      <w:r>
        <w:rPr>
          <w:color w:val="000000"/>
          <w:lang w:val="en-NZ"/>
        </w:rPr>
        <w:t xml:space="preserve"> as well as engages them in </w:t>
      </w:r>
      <w:r w:rsidRPr="006551F2">
        <w:rPr>
          <w:color w:val="000000"/>
          <w:lang w:val="en-NZ"/>
        </w:rPr>
        <w:t>critical thinking</w:t>
      </w:r>
      <w:r>
        <w:rPr>
          <w:color w:val="000000"/>
          <w:lang w:val="en-NZ"/>
        </w:rPr>
        <w:t>.</w:t>
      </w:r>
      <w:r w:rsidRPr="006551F2">
        <w:rPr>
          <w:color w:val="000000"/>
          <w:lang w:val="en-NZ"/>
        </w:rPr>
        <w:tab/>
      </w:r>
    </w:p>
    <w:p w:rsidR="00C45355" w:rsidRPr="00F125F7" w:rsidRDefault="00C45355" w:rsidP="00C45355">
      <w:pPr>
        <w:pStyle w:val="Heading2"/>
        <w:tabs>
          <w:tab w:val="clear" w:pos="288"/>
          <w:tab w:val="num" w:pos="360"/>
        </w:tabs>
      </w:pPr>
      <w:r w:rsidRPr="00F125F7">
        <w:t>Discourse Theory</w:t>
      </w:r>
    </w:p>
    <w:p w:rsidR="00C45355" w:rsidRPr="00212A3B" w:rsidRDefault="00C45355" w:rsidP="00C45355">
      <w:pPr>
        <w:pStyle w:val="BodyText"/>
        <w:ind w:firstLine="0"/>
        <w:rPr>
          <w:color w:val="000000"/>
          <w:lang w:val="en-US"/>
        </w:rPr>
      </w:pPr>
      <w:r>
        <w:rPr>
          <w:color w:val="000000"/>
          <w:lang w:val="en-NZ"/>
        </w:rPr>
        <w:tab/>
      </w:r>
      <w:r w:rsidRPr="00E43DCF">
        <w:rPr>
          <w:color w:val="000000"/>
          <w:lang w:val="en-NZ"/>
        </w:rPr>
        <w:t>The language can be divided into different levels such as Phonology, morphology, semantics, syntax, and discourse</w:t>
      </w:r>
      <w:r>
        <w:rPr>
          <w:color w:val="000000"/>
          <w:lang w:val="en-NZ"/>
        </w:rPr>
        <w:t xml:space="preserve"> [14]</w:t>
      </w:r>
      <w:r w:rsidRPr="00E43DCF">
        <w:rPr>
          <w:color w:val="000000"/>
          <w:lang w:val="en-NZ"/>
        </w:rPr>
        <w:t xml:space="preserve">. </w:t>
      </w:r>
      <w:r w:rsidRPr="00212A3B">
        <w:rPr>
          <w:color w:val="000000"/>
          <w:lang w:val="en-NZ"/>
        </w:rPr>
        <w:t>Discourse may be described in a number of ways, such as conversation or document, a series of texts or conversations, a mutual way of speaking or creating texts (code), codes, languages, and a topic's way of speaking.</w:t>
      </w:r>
      <w:r>
        <w:rPr>
          <w:color w:val="000000"/>
          <w:lang w:val="en-NZ"/>
        </w:rPr>
        <w:t xml:space="preserve"> </w:t>
      </w:r>
      <w:r w:rsidRPr="00E43DCF">
        <w:rPr>
          <w:color w:val="000000"/>
          <w:lang w:val="en-NZ"/>
        </w:rPr>
        <w:t xml:space="preserve">According to Cambridge Delta, any connected piece of speaking or writing is referred to as discourse. </w:t>
      </w:r>
      <w:r w:rsidRPr="00212A3B">
        <w:rPr>
          <w:color w:val="000000"/>
          <w:lang w:val="en-NZ"/>
        </w:rPr>
        <w:t>Discourse Analysis is the study of how to relate the distinct 'parts' of language that make up the discourse in such a way that the discourse makes sense.</w:t>
      </w:r>
      <w:r>
        <w:rPr>
          <w:color w:val="000000"/>
          <w:lang w:val="en-NZ"/>
        </w:rPr>
        <w:t xml:space="preserve"> D</w:t>
      </w:r>
      <w:r w:rsidRPr="00E43DCF">
        <w:rPr>
          <w:color w:val="000000"/>
          <w:lang w:val="en-NZ"/>
        </w:rPr>
        <w:t>iscourse analys</w:t>
      </w:r>
      <w:r>
        <w:rPr>
          <w:color w:val="000000"/>
          <w:lang w:val="en-NZ"/>
        </w:rPr>
        <w:t>is enables us to find out the reasons if discourse does not make sense [14]</w:t>
      </w:r>
      <w:r w:rsidRPr="00E43DCF">
        <w:rPr>
          <w:color w:val="000000"/>
          <w:lang w:val="en-NZ"/>
        </w:rPr>
        <w:t>.</w:t>
      </w:r>
    </w:p>
    <w:p w:rsidR="00C45355" w:rsidRPr="0076136D" w:rsidRDefault="00C45355" w:rsidP="00C45355">
      <w:pPr>
        <w:pStyle w:val="Heading2"/>
        <w:tabs>
          <w:tab w:val="clear" w:pos="288"/>
          <w:tab w:val="num" w:pos="360"/>
        </w:tabs>
      </w:pPr>
      <w:r w:rsidRPr="0076136D">
        <w:t xml:space="preserve">Readability </w:t>
      </w:r>
      <w:r w:rsidR="009F296C">
        <w:t>and R</w:t>
      </w:r>
      <w:r>
        <w:t xml:space="preserve">eadability </w:t>
      </w:r>
      <w:r w:rsidRPr="0076136D">
        <w:t>Test</w:t>
      </w:r>
    </w:p>
    <w:p w:rsidR="00C45355" w:rsidRPr="00E43DCF" w:rsidRDefault="00C45355" w:rsidP="00C45355">
      <w:pPr>
        <w:pStyle w:val="BodyText"/>
        <w:rPr>
          <w:color w:val="000000"/>
          <w:lang w:val="en-NZ"/>
        </w:rPr>
      </w:pPr>
      <w:r w:rsidRPr="00EB2815">
        <w:rPr>
          <w:color w:val="000000"/>
          <w:lang w:val="en-NZ"/>
        </w:rPr>
        <w:t xml:space="preserve">Readability is the simplicity with which a reader can comprehend a written </w:t>
      </w:r>
      <w:r>
        <w:rPr>
          <w:color w:val="000000"/>
          <w:lang w:val="en-NZ"/>
        </w:rPr>
        <w:t>script</w:t>
      </w:r>
      <w:r w:rsidRPr="00EB2815">
        <w:rPr>
          <w:color w:val="000000"/>
          <w:lang w:val="en-NZ"/>
        </w:rPr>
        <w:t xml:space="preserve">, according to Wikipedia. Learning and enjoyment are enhanced by easy reading, </w:t>
      </w:r>
      <w:r>
        <w:rPr>
          <w:color w:val="000000"/>
          <w:lang w:val="en-NZ"/>
        </w:rPr>
        <w:t xml:space="preserve">meaning that whatever </w:t>
      </w:r>
      <w:r w:rsidRPr="00EB2815">
        <w:rPr>
          <w:color w:val="000000"/>
          <w:lang w:val="en-NZ"/>
        </w:rPr>
        <w:t xml:space="preserve">we write should </w:t>
      </w:r>
      <w:r>
        <w:rPr>
          <w:color w:val="000000"/>
          <w:lang w:val="en-NZ"/>
        </w:rPr>
        <w:t>not be hard</w:t>
      </w:r>
      <w:r w:rsidRPr="00EB2815">
        <w:rPr>
          <w:color w:val="000000"/>
          <w:lang w:val="en-NZ"/>
        </w:rPr>
        <w:t xml:space="preserve"> to apprehend.</w:t>
      </w:r>
      <w:r>
        <w:rPr>
          <w:color w:val="000000"/>
          <w:lang w:val="en-NZ"/>
        </w:rPr>
        <w:t xml:space="preserve"> </w:t>
      </w:r>
      <w:r w:rsidRPr="00E43DCF">
        <w:rPr>
          <w:color w:val="000000"/>
          <w:lang w:val="en-NZ"/>
        </w:rPr>
        <w:t xml:space="preserve">In natural language, the readability of </w:t>
      </w:r>
      <w:r>
        <w:rPr>
          <w:color w:val="000000"/>
          <w:lang w:val="en-NZ"/>
        </w:rPr>
        <w:t xml:space="preserve">the </w:t>
      </w:r>
      <w:r w:rsidRPr="00E43DCF">
        <w:rPr>
          <w:color w:val="000000"/>
          <w:lang w:val="en-NZ"/>
        </w:rPr>
        <w:t xml:space="preserve">text </w:t>
      </w:r>
      <w:r>
        <w:rPr>
          <w:color w:val="000000"/>
          <w:lang w:val="en-NZ"/>
        </w:rPr>
        <w:t xml:space="preserve">is dependent </w:t>
      </w:r>
      <w:r w:rsidRPr="00E43DCF">
        <w:rPr>
          <w:color w:val="000000"/>
          <w:lang w:val="en-NZ"/>
        </w:rPr>
        <w:t>on its content and its presentation</w:t>
      </w:r>
      <w:r>
        <w:rPr>
          <w:color w:val="000000"/>
          <w:lang w:val="en-NZ"/>
        </w:rPr>
        <w:t xml:space="preserve"> [15]</w:t>
      </w:r>
      <w:r w:rsidRPr="00E43DCF">
        <w:rPr>
          <w:color w:val="000000"/>
          <w:lang w:val="en-NZ"/>
        </w:rPr>
        <w:t>. Readability tests are formulae used to evaluate the readability of a text. There are many (more than 17) significant measurable style variables used to measure the readability of the text and most commonly involves counting</w:t>
      </w:r>
      <w:r>
        <w:rPr>
          <w:color w:val="000000"/>
          <w:lang w:val="en-NZ"/>
        </w:rPr>
        <w:t xml:space="preserve"> sentences,</w:t>
      </w:r>
      <w:r w:rsidRPr="00E43DCF">
        <w:rPr>
          <w:color w:val="000000"/>
          <w:lang w:val="en-NZ"/>
        </w:rPr>
        <w:t xml:space="preserve"> </w:t>
      </w:r>
      <w:r>
        <w:rPr>
          <w:color w:val="000000"/>
          <w:lang w:val="en-NZ"/>
        </w:rPr>
        <w:t>words, and syllables</w:t>
      </w:r>
      <w:r w:rsidRPr="00E43DCF">
        <w:rPr>
          <w:color w:val="000000"/>
          <w:lang w:val="en-NZ"/>
        </w:rPr>
        <w:t xml:space="preserve">. </w:t>
      </w:r>
      <w:r>
        <w:rPr>
          <w:color w:val="000000"/>
          <w:lang w:val="en-NZ"/>
        </w:rPr>
        <w:t>These</w:t>
      </w:r>
      <w:r w:rsidRPr="00E43DCF">
        <w:rPr>
          <w:color w:val="000000"/>
          <w:lang w:val="en-NZ"/>
        </w:rPr>
        <w:t xml:space="preserve"> checks are used as a substitute to </w:t>
      </w:r>
      <w:r>
        <w:rPr>
          <w:color w:val="000000"/>
          <w:lang w:val="en-NZ"/>
        </w:rPr>
        <w:t>performing</w:t>
      </w:r>
      <w:r w:rsidRPr="00E43DCF">
        <w:rPr>
          <w:color w:val="000000"/>
          <w:lang w:val="en-NZ"/>
        </w:rPr>
        <w:t xml:space="preserve"> an actual statistical analysis of </w:t>
      </w:r>
      <w:r>
        <w:rPr>
          <w:color w:val="000000"/>
          <w:lang w:val="en-NZ"/>
        </w:rPr>
        <w:t>individual</w:t>
      </w:r>
      <w:r w:rsidRPr="00E43DCF">
        <w:rPr>
          <w:color w:val="000000"/>
          <w:lang w:val="en-NZ"/>
        </w:rPr>
        <w:t xml:space="preserve"> readers of the subject text. </w:t>
      </w:r>
      <w:r>
        <w:rPr>
          <w:color w:val="000000"/>
          <w:lang w:val="en-NZ"/>
        </w:rPr>
        <w:t>A list of the readability tests is provided in Table I.</w:t>
      </w:r>
    </w:p>
    <w:p w:rsidR="00C45355" w:rsidRPr="00E43DCF" w:rsidRDefault="00C45355" w:rsidP="00C45355">
      <w:pPr>
        <w:pStyle w:val="BodyText"/>
        <w:rPr>
          <w:rFonts w:ascii="URW Gothic L" w:hAnsi="URW Gothic L" w:hint="eastAsia"/>
          <w:color w:val="000000"/>
          <w:shd w:val="clear" w:color="auto" w:fill="FFFFFF"/>
          <w:lang w:val="en-NZ"/>
        </w:rPr>
      </w:pPr>
      <w:r w:rsidRPr="00E43DCF">
        <w:rPr>
          <w:color w:val="000000"/>
          <w:lang w:val="en-US"/>
        </w:rPr>
        <w:t xml:space="preserve">Writing is analyzed using </w:t>
      </w:r>
      <w:r>
        <w:rPr>
          <w:color w:val="000000"/>
          <w:lang w:val="en-US"/>
        </w:rPr>
        <w:t xml:space="preserve">a </w:t>
      </w:r>
      <w:r w:rsidRPr="00E43DCF">
        <w:rPr>
          <w:color w:val="000000"/>
          <w:lang w:val="en-US"/>
        </w:rPr>
        <w:t xml:space="preserve">freely available </w:t>
      </w:r>
      <w:r w:rsidRPr="00E43DCF">
        <w:rPr>
          <w:rFonts w:ascii="URW Gothic L" w:hAnsi="URW Gothic L"/>
          <w:color w:val="000000"/>
          <w:shd w:val="clear" w:color="auto" w:fill="FFFFFF"/>
        </w:rPr>
        <w:t>online tex</w:t>
      </w:r>
      <w:r>
        <w:rPr>
          <w:rFonts w:ascii="URW Gothic L" w:hAnsi="URW Gothic L"/>
          <w:color w:val="000000"/>
          <w:shd w:val="clear" w:color="auto" w:fill="FFFFFF"/>
        </w:rPr>
        <w:t xml:space="preserve">t content and readability </w:t>
      </w:r>
      <w:proofErr w:type="spellStart"/>
      <w:r>
        <w:rPr>
          <w:rFonts w:ascii="URW Gothic L" w:hAnsi="URW Gothic L"/>
          <w:color w:val="000000"/>
          <w:shd w:val="clear" w:color="auto" w:fill="FFFFFF"/>
        </w:rPr>
        <w:t>analyz</w:t>
      </w:r>
      <w:r w:rsidRPr="00E43DCF">
        <w:rPr>
          <w:rFonts w:ascii="URW Gothic L" w:hAnsi="URW Gothic L"/>
          <w:color w:val="000000"/>
          <w:shd w:val="clear" w:color="auto" w:fill="FFFFFF"/>
        </w:rPr>
        <w:t>er</w:t>
      </w:r>
      <w:proofErr w:type="spellEnd"/>
      <w:r>
        <w:rPr>
          <w:color w:val="000000"/>
          <w:lang w:val="en-US"/>
        </w:rPr>
        <w:t xml:space="preserve"> tool called </w:t>
      </w:r>
      <w:r w:rsidRPr="006A00F9">
        <w:rPr>
          <w:i/>
          <w:color w:val="000000"/>
          <w:lang w:val="en-US"/>
        </w:rPr>
        <w:t>Analyze My Writing</w:t>
      </w:r>
      <w:r w:rsidRPr="00E43DCF">
        <w:rPr>
          <w:color w:val="000000"/>
          <w:lang w:val="en-US"/>
        </w:rPr>
        <w:t xml:space="preserve">. </w:t>
      </w:r>
      <w:r w:rsidRPr="00E43DCF">
        <w:rPr>
          <w:rFonts w:ascii="URW Gothic L" w:hAnsi="URW Gothic L"/>
          <w:color w:val="000000"/>
          <w:shd w:val="clear" w:color="auto" w:fill="FFFFFF"/>
        </w:rPr>
        <w:t xml:space="preserve"> </w:t>
      </w:r>
      <w:r w:rsidRPr="00E43DCF">
        <w:rPr>
          <w:rFonts w:ascii="URW Gothic L" w:hAnsi="URW Gothic L"/>
          <w:color w:val="000000"/>
          <w:shd w:val="clear" w:color="auto" w:fill="FFFFFF"/>
          <w:lang w:val="en-NZ"/>
        </w:rPr>
        <w:t xml:space="preserve">The output of the tools is </w:t>
      </w:r>
      <w:r>
        <w:rPr>
          <w:rFonts w:ascii="URW Gothic L" w:hAnsi="URW Gothic L"/>
          <w:color w:val="000000"/>
          <w:shd w:val="clear" w:color="auto" w:fill="FFFFFF"/>
          <w:lang w:val="en-NZ"/>
        </w:rPr>
        <w:t xml:space="preserve">in the form </w:t>
      </w:r>
      <w:r w:rsidRPr="00E43DCF">
        <w:rPr>
          <w:rFonts w:ascii="URW Gothic L" w:hAnsi="URW Gothic L"/>
          <w:color w:val="000000"/>
          <w:shd w:val="clear" w:color="auto" w:fill="FFFFFF"/>
          <w:lang w:val="en-NZ"/>
        </w:rPr>
        <w:t>readability index which</w:t>
      </w:r>
      <w:r>
        <w:rPr>
          <w:rFonts w:ascii="URW Gothic L" w:hAnsi="URW Gothic L"/>
          <w:color w:val="000000"/>
          <w:shd w:val="clear" w:color="auto" w:fill="FFFFFF"/>
          <w:lang w:val="en-NZ"/>
        </w:rPr>
        <w:t xml:space="preserve">, </w:t>
      </w:r>
      <w:r w:rsidRPr="00E43DCF">
        <w:rPr>
          <w:rFonts w:ascii="URW Gothic L" w:hAnsi="URW Gothic L"/>
          <w:color w:val="000000"/>
          <w:shd w:val="clear" w:color="auto" w:fill="FFFFFF"/>
          <w:lang w:val="en-NZ"/>
        </w:rPr>
        <w:t xml:space="preserve">based on </w:t>
      </w:r>
      <w:r>
        <w:rPr>
          <w:rFonts w:ascii="URW Gothic L" w:hAnsi="URW Gothic L"/>
          <w:color w:val="000000"/>
          <w:shd w:val="clear" w:color="auto" w:fill="FFFFFF"/>
          <w:lang w:val="en-NZ"/>
        </w:rPr>
        <w:t xml:space="preserve">the </w:t>
      </w:r>
      <w:r w:rsidRPr="00E43DCF">
        <w:rPr>
          <w:rFonts w:ascii="URW Gothic L" w:hAnsi="URW Gothic L"/>
          <w:color w:val="000000"/>
          <w:shd w:val="clear" w:color="auto" w:fill="FFFFFF"/>
          <w:lang w:val="en-NZ"/>
        </w:rPr>
        <w:t>text's complexity</w:t>
      </w:r>
      <w:r>
        <w:rPr>
          <w:rFonts w:ascii="URW Gothic L" w:hAnsi="URW Gothic L"/>
          <w:color w:val="000000"/>
          <w:shd w:val="clear" w:color="auto" w:fill="FFFFFF"/>
          <w:lang w:val="en-NZ"/>
        </w:rPr>
        <w:t>, gives</w:t>
      </w:r>
      <w:r w:rsidRPr="00E43DCF">
        <w:rPr>
          <w:rFonts w:ascii="URW Gothic L" w:hAnsi="URW Gothic L"/>
          <w:color w:val="000000"/>
          <w:shd w:val="clear" w:color="auto" w:fill="FFFFFF"/>
          <w:lang w:val="en-NZ"/>
        </w:rPr>
        <w:t xml:space="preserve"> an </w:t>
      </w:r>
      <w:r>
        <w:rPr>
          <w:rFonts w:ascii="URW Gothic L" w:hAnsi="URW Gothic L"/>
          <w:color w:val="000000"/>
          <w:shd w:val="clear" w:color="auto" w:fill="FFFFFF"/>
          <w:lang w:val="en-NZ"/>
        </w:rPr>
        <w:t>indication</w:t>
      </w:r>
      <w:r w:rsidRPr="00E43DCF">
        <w:rPr>
          <w:rFonts w:ascii="URW Gothic L" w:hAnsi="URW Gothic L"/>
          <w:color w:val="000000"/>
          <w:shd w:val="clear" w:color="auto" w:fill="FFFFFF"/>
          <w:lang w:val="en-NZ"/>
        </w:rPr>
        <w:t xml:space="preserve"> of how diffic</w:t>
      </w:r>
      <w:r>
        <w:rPr>
          <w:rFonts w:ascii="URW Gothic L" w:hAnsi="URW Gothic L"/>
          <w:color w:val="000000"/>
          <w:shd w:val="clear" w:color="auto" w:fill="FFFFFF"/>
          <w:lang w:val="en-NZ"/>
        </w:rPr>
        <w:t>ult a text is to read</w:t>
      </w:r>
      <w:r w:rsidRPr="00E43DCF">
        <w:rPr>
          <w:rFonts w:ascii="URW Gothic L" w:hAnsi="URW Gothic L"/>
          <w:color w:val="000000"/>
          <w:shd w:val="clear" w:color="auto" w:fill="FFFFFF"/>
          <w:lang w:val="en-NZ"/>
        </w:rPr>
        <w:t>. There are many index</w:t>
      </w:r>
      <w:r>
        <w:rPr>
          <w:rFonts w:ascii="URW Gothic L" w:hAnsi="URW Gothic L"/>
          <w:color w:val="000000"/>
          <w:shd w:val="clear" w:color="auto" w:fill="FFFFFF"/>
          <w:lang w:val="en-NZ"/>
        </w:rPr>
        <w:t>es</w:t>
      </w:r>
      <w:r w:rsidRPr="00E43DCF">
        <w:rPr>
          <w:rFonts w:ascii="URW Gothic L" w:hAnsi="URW Gothic L"/>
          <w:color w:val="000000"/>
          <w:shd w:val="clear" w:color="auto" w:fill="FFFFFF"/>
          <w:lang w:val="en-NZ"/>
        </w:rPr>
        <w:t xml:space="preserve"> available for indicating the complexity of the writing which differ in their working and each emphasizes particular </w:t>
      </w:r>
      <w:r>
        <w:rPr>
          <w:rFonts w:ascii="URW Gothic L" w:hAnsi="URW Gothic L"/>
          <w:color w:val="000000"/>
          <w:shd w:val="clear" w:color="auto" w:fill="FFFFFF"/>
          <w:lang w:val="en-NZ"/>
        </w:rPr>
        <w:t>facets</w:t>
      </w:r>
      <w:r w:rsidRPr="00E43DCF">
        <w:rPr>
          <w:rFonts w:ascii="URW Gothic L" w:hAnsi="URW Gothic L"/>
          <w:color w:val="000000"/>
          <w:shd w:val="clear" w:color="auto" w:fill="FFFFFF"/>
          <w:lang w:val="en-NZ"/>
        </w:rPr>
        <w:t xml:space="preserve"> of text complexity. Some </w:t>
      </w:r>
      <w:r>
        <w:rPr>
          <w:rFonts w:ascii="URW Gothic L" w:hAnsi="URW Gothic L"/>
          <w:color w:val="000000"/>
          <w:shd w:val="clear" w:color="auto" w:fill="FFFFFF"/>
          <w:lang w:val="en-NZ"/>
        </w:rPr>
        <w:t xml:space="preserve">of them </w:t>
      </w:r>
      <w:r w:rsidRPr="00F5633C">
        <w:rPr>
          <w:rFonts w:ascii="URW Gothic L" w:hAnsi="URW Gothic L"/>
          <w:color w:val="000000"/>
          <w:shd w:val="clear" w:color="auto" w:fill="FFFFFF"/>
          <w:lang w:val="en-NZ"/>
        </w:rPr>
        <w:t>accentuate</w:t>
      </w:r>
      <w:r w:rsidRPr="00E43DCF">
        <w:rPr>
          <w:rFonts w:ascii="URW Gothic L" w:hAnsi="URW Gothic L"/>
          <w:color w:val="000000"/>
          <w:shd w:val="clear" w:color="auto" w:fill="FFFFFF"/>
          <w:lang w:val="en-NZ"/>
        </w:rPr>
        <w:t xml:space="preserve"> syllable counts while others look only at </w:t>
      </w:r>
      <w:r>
        <w:rPr>
          <w:rFonts w:ascii="URW Gothic L" w:hAnsi="URW Gothic L"/>
          <w:color w:val="000000"/>
          <w:shd w:val="clear" w:color="auto" w:fill="FFFFFF"/>
          <w:lang w:val="en-NZ"/>
        </w:rPr>
        <w:t xml:space="preserve">the length of the </w:t>
      </w:r>
      <w:r w:rsidRPr="00E43DCF">
        <w:rPr>
          <w:rFonts w:ascii="URW Gothic L" w:hAnsi="URW Gothic L"/>
          <w:color w:val="000000"/>
          <w:shd w:val="clear" w:color="auto" w:fill="FFFFFF"/>
          <w:lang w:val="en-NZ"/>
        </w:rPr>
        <w:t>word</w:t>
      </w:r>
      <w:r>
        <w:rPr>
          <w:rFonts w:ascii="URW Gothic L" w:hAnsi="URW Gothic L"/>
          <w:color w:val="000000"/>
          <w:shd w:val="clear" w:color="auto" w:fill="FFFFFF"/>
          <w:lang w:val="en-NZ"/>
        </w:rPr>
        <w:t>s</w:t>
      </w:r>
      <w:r w:rsidRPr="00E43DCF">
        <w:rPr>
          <w:rFonts w:ascii="URW Gothic L" w:hAnsi="URW Gothic L"/>
          <w:color w:val="000000"/>
          <w:shd w:val="clear" w:color="auto" w:fill="FFFFFF"/>
          <w:lang w:val="en-NZ"/>
        </w:rPr>
        <w:t xml:space="preserve"> and sentence</w:t>
      </w:r>
      <w:r>
        <w:rPr>
          <w:rFonts w:ascii="URW Gothic L" w:hAnsi="URW Gothic L"/>
          <w:color w:val="000000"/>
          <w:shd w:val="clear" w:color="auto" w:fill="FFFFFF"/>
          <w:lang w:val="en-NZ"/>
        </w:rPr>
        <w:t>s</w:t>
      </w:r>
      <w:r w:rsidRPr="00E43DCF">
        <w:rPr>
          <w:rFonts w:ascii="URW Gothic L" w:hAnsi="URW Gothic L"/>
          <w:color w:val="000000"/>
          <w:shd w:val="clear" w:color="auto" w:fill="FFFFFF"/>
          <w:lang w:val="en-NZ"/>
        </w:rPr>
        <w:t xml:space="preserve">. But, all are based on the same core idea; readability is </w:t>
      </w:r>
      <w:r>
        <w:rPr>
          <w:rFonts w:ascii="URW Gothic L" w:hAnsi="URW Gothic L"/>
          <w:color w:val="000000"/>
          <w:shd w:val="clear" w:color="auto" w:fill="FFFFFF"/>
          <w:lang w:val="en-NZ"/>
        </w:rPr>
        <w:t>a measure of the complexity of the text</w:t>
      </w:r>
      <w:r w:rsidRPr="00E43DCF">
        <w:rPr>
          <w:rFonts w:ascii="URW Gothic L" w:hAnsi="URW Gothic L"/>
          <w:color w:val="000000"/>
          <w:shd w:val="clear" w:color="auto" w:fill="FFFFFF"/>
          <w:lang w:val="en-NZ"/>
        </w:rPr>
        <w:t xml:space="preserve">. </w:t>
      </w:r>
      <w:proofErr w:type="spellStart"/>
      <w:r>
        <w:t>Plung</w:t>
      </w:r>
      <w:proofErr w:type="spellEnd"/>
      <w:r>
        <w:t xml:space="preserve"> </w:t>
      </w:r>
      <w:r>
        <w:rPr>
          <w:lang w:val="en-NZ"/>
        </w:rPr>
        <w:t xml:space="preserve">[16] </w:t>
      </w:r>
      <w:r>
        <w:t xml:space="preserve">has advocated the application of the readability formulas for the </w:t>
      </w:r>
      <w:r>
        <w:lastRenderedPageBreak/>
        <w:t xml:space="preserve">writings (even technical) if they are intended for the general public. </w:t>
      </w:r>
      <w:r w:rsidRPr="00E43DCF">
        <w:rPr>
          <w:rFonts w:ascii="URW Gothic L" w:hAnsi="URW Gothic L"/>
          <w:color w:val="000000"/>
          <w:shd w:val="clear" w:color="auto" w:fill="FFFFFF"/>
          <w:lang w:val="en-NZ"/>
        </w:rPr>
        <w:t>A list of available readability tool is given below:</w:t>
      </w:r>
    </w:p>
    <w:p w:rsidR="00C45355" w:rsidRPr="007C79DA" w:rsidRDefault="00AB5529" w:rsidP="00C45355">
      <w:pPr>
        <w:pStyle w:val="tablehead"/>
        <w:tabs>
          <w:tab w:val="clear" w:pos="1080"/>
          <w:tab w:val="num" w:pos="1222"/>
        </w:tabs>
      </w:pPr>
      <w:r>
        <w:t>Writing Analysis T</w:t>
      </w:r>
      <w:r w:rsidR="00C45355">
        <w:t xml:space="preserve">ools and </w:t>
      </w:r>
      <w:r>
        <w:t>Readability T</w:t>
      </w:r>
      <w:r w:rsidR="00C45355">
        <w:t>ests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48"/>
        <w:gridCol w:w="2947"/>
      </w:tblGrid>
      <w:tr w:rsidR="00C45355" w:rsidTr="009B6D66">
        <w:trPr>
          <w:trHeight w:val="5"/>
          <w:jc w:val="center"/>
        </w:trPr>
        <w:tc>
          <w:tcPr>
            <w:tcW w:w="2148" w:type="dxa"/>
            <w:vAlign w:val="center"/>
          </w:tcPr>
          <w:p w:rsidR="00C45355" w:rsidRPr="00D14488" w:rsidRDefault="00C45355" w:rsidP="009B6D66">
            <w:pPr>
              <w:pStyle w:val="tablecopy"/>
              <w:jc w:val="center"/>
              <w:rPr>
                <w:b/>
              </w:rPr>
            </w:pPr>
            <w:r w:rsidRPr="00D14488">
              <w:rPr>
                <w:b/>
              </w:rPr>
              <w:t>Writing Analysis Tools</w:t>
            </w:r>
          </w:p>
        </w:tc>
        <w:tc>
          <w:tcPr>
            <w:tcW w:w="2947" w:type="dxa"/>
            <w:vAlign w:val="center"/>
          </w:tcPr>
          <w:p w:rsidR="00C45355" w:rsidRPr="00D14488" w:rsidRDefault="00C45355" w:rsidP="009B6D66">
            <w:pPr>
              <w:pStyle w:val="tablecopy"/>
              <w:jc w:val="center"/>
              <w:rPr>
                <w:b/>
              </w:rPr>
            </w:pPr>
            <w:r w:rsidRPr="00D14488">
              <w:rPr>
                <w:b/>
              </w:rPr>
              <w:t>Readability Tests</w:t>
            </w:r>
          </w:p>
        </w:tc>
      </w:tr>
      <w:tr w:rsidR="00C45355" w:rsidTr="009B6D66">
        <w:trPr>
          <w:trHeight w:val="1642"/>
          <w:jc w:val="center"/>
        </w:trPr>
        <w:tc>
          <w:tcPr>
            <w:tcW w:w="2148" w:type="dxa"/>
          </w:tcPr>
          <w:p w:rsidR="00C45355" w:rsidRPr="006A00F9" w:rsidRDefault="00C45355" w:rsidP="009B6D66">
            <w:pPr>
              <w:pStyle w:val="tablecopy"/>
              <w:rPr>
                <w:i/>
              </w:rPr>
            </w:pPr>
            <w:r w:rsidRPr="006A00F9">
              <w:rPr>
                <w:i/>
              </w:rPr>
              <w:t xml:space="preserve">- </w:t>
            </w:r>
            <w:r>
              <w:rPr>
                <w:i/>
              </w:rPr>
              <w:t>Analyze M</w:t>
            </w:r>
            <w:r w:rsidRPr="006A00F9">
              <w:rPr>
                <w:i/>
              </w:rPr>
              <w:t xml:space="preserve">y </w:t>
            </w:r>
            <w:r>
              <w:rPr>
                <w:i/>
              </w:rPr>
              <w:t>W</w:t>
            </w:r>
            <w:r w:rsidRPr="006A00F9">
              <w:rPr>
                <w:i/>
              </w:rPr>
              <w:t>riting</w:t>
            </w:r>
          </w:p>
          <w:p w:rsidR="00C45355" w:rsidRPr="006A00F9" w:rsidRDefault="00C45355" w:rsidP="009B6D66">
            <w:pPr>
              <w:pStyle w:val="tablecopy"/>
              <w:rPr>
                <w:i/>
              </w:rPr>
            </w:pPr>
            <w:r w:rsidRPr="006A00F9">
              <w:rPr>
                <w:i/>
              </w:rPr>
              <w:t>- Joes web tools</w:t>
            </w:r>
          </w:p>
          <w:p w:rsidR="00C45355" w:rsidRPr="006A00F9" w:rsidRDefault="00C45355" w:rsidP="009B6D66">
            <w:pPr>
              <w:pStyle w:val="tablecopy"/>
              <w:rPr>
                <w:i/>
              </w:rPr>
            </w:pPr>
            <w:r w:rsidRPr="006A00F9">
              <w:rPr>
                <w:i/>
              </w:rPr>
              <w:t>- ReadablePro</w:t>
            </w:r>
          </w:p>
          <w:p w:rsidR="00C45355" w:rsidRPr="006A00F9" w:rsidRDefault="00C45355" w:rsidP="009B6D66">
            <w:pPr>
              <w:pStyle w:val="tablecopy"/>
              <w:rPr>
                <w:i/>
              </w:rPr>
            </w:pPr>
            <w:r w:rsidRPr="006A00F9">
              <w:rPr>
                <w:i/>
              </w:rPr>
              <w:t>- The writer’s diet</w:t>
            </w:r>
          </w:p>
          <w:p w:rsidR="00C45355" w:rsidRPr="006A00F9" w:rsidRDefault="00C45355" w:rsidP="009B6D66">
            <w:pPr>
              <w:pStyle w:val="tablecopy"/>
              <w:rPr>
                <w:i/>
              </w:rPr>
            </w:pPr>
            <w:r w:rsidRPr="006A00F9">
              <w:rPr>
                <w:i/>
              </w:rPr>
              <w:t>- Text Content Analysis Tool</w:t>
            </w:r>
          </w:p>
          <w:p w:rsidR="00C45355" w:rsidRPr="005515BE" w:rsidRDefault="00C45355" w:rsidP="009B6D66">
            <w:pPr>
              <w:pStyle w:val="tablecopy"/>
            </w:pPr>
            <w:r w:rsidRPr="006A00F9">
              <w:rPr>
                <w:i/>
              </w:rPr>
              <w:t>- Hemmingway Editor</w:t>
            </w:r>
          </w:p>
        </w:tc>
        <w:tc>
          <w:tcPr>
            <w:tcW w:w="2947" w:type="dxa"/>
            <w:vAlign w:val="center"/>
          </w:tcPr>
          <w:p w:rsidR="00C45355" w:rsidRPr="006A00F9" w:rsidRDefault="00C45355" w:rsidP="009B6D66">
            <w:pPr>
              <w:pStyle w:val="tablecopy"/>
              <w:jc w:val="left"/>
              <w:rPr>
                <w:i/>
              </w:rPr>
            </w:pPr>
            <w:r w:rsidRPr="006A00F9">
              <w:rPr>
                <w:i/>
              </w:rPr>
              <w:t>The Flesch formulas, The Dale–Chall formula, The Gunning fog formula, Fry readability graph, McLaughlin's SMOG formula, The FORCAST formula, The Golub Syntactic Density Score, The George Klare studies, The John Bormuth formulas, The Lexile framework, ATOS readability formula for books, CohMetrix psycholinguistics measurements</w:t>
            </w:r>
          </w:p>
        </w:tc>
      </w:tr>
    </w:tbl>
    <w:p w:rsidR="00C45355" w:rsidRDefault="00C45355" w:rsidP="00C45355">
      <w:pPr>
        <w:pStyle w:val="BodyText"/>
        <w:rPr>
          <w:color w:val="000000"/>
          <w:lang w:val="en-NZ"/>
        </w:rPr>
      </w:pPr>
    </w:p>
    <w:p w:rsidR="00C45355" w:rsidRDefault="00C45355" w:rsidP="00C45355">
      <w:pPr>
        <w:pStyle w:val="BodyText"/>
        <w:rPr>
          <w:color w:val="000000"/>
          <w:lang w:val="en-NZ"/>
        </w:rPr>
      </w:pPr>
      <w:r w:rsidRPr="00B269C4">
        <w:rPr>
          <w:color w:val="000000"/>
          <w:lang w:val="en-NZ"/>
        </w:rPr>
        <w:t>The application of a useful readability test rough</w:t>
      </w:r>
      <w:r>
        <w:rPr>
          <w:color w:val="000000"/>
          <w:lang w:val="en-NZ"/>
        </w:rPr>
        <w:t>ly</w:t>
      </w:r>
      <w:r w:rsidRPr="00B269C4">
        <w:rPr>
          <w:color w:val="000000"/>
          <w:lang w:val="en-NZ"/>
        </w:rPr>
        <w:t xml:space="preserve"> ind</w:t>
      </w:r>
      <w:r>
        <w:rPr>
          <w:color w:val="000000"/>
          <w:lang w:val="en-NZ"/>
        </w:rPr>
        <w:t>icates how easy or hard it is to decipher a piece of writing</w:t>
      </w:r>
      <w:r w:rsidRPr="00B269C4">
        <w:rPr>
          <w:color w:val="000000"/>
          <w:lang w:val="en-NZ"/>
        </w:rPr>
        <w:t xml:space="preserve">. The </w:t>
      </w:r>
      <w:r>
        <w:rPr>
          <w:color w:val="000000"/>
          <w:lang w:val="en-NZ"/>
        </w:rPr>
        <w:t xml:space="preserve">score generated by the </w:t>
      </w:r>
      <w:r w:rsidRPr="00B269C4">
        <w:rPr>
          <w:color w:val="000000"/>
          <w:lang w:val="en-NZ"/>
        </w:rPr>
        <w:t xml:space="preserve">tests </w:t>
      </w:r>
      <w:r>
        <w:rPr>
          <w:color w:val="000000"/>
          <w:lang w:val="en-NZ"/>
        </w:rPr>
        <w:t>is</w:t>
      </w:r>
      <w:r w:rsidRPr="00B269C4">
        <w:rPr>
          <w:color w:val="000000"/>
          <w:lang w:val="en-NZ"/>
        </w:rPr>
        <w:t xml:space="preserve"> based on </w:t>
      </w:r>
      <w:r>
        <w:rPr>
          <w:color w:val="000000"/>
          <w:lang w:val="en-NZ"/>
        </w:rPr>
        <w:t>attributes</w:t>
      </w:r>
      <w:r w:rsidRPr="00B269C4">
        <w:rPr>
          <w:color w:val="000000"/>
          <w:lang w:val="en-NZ"/>
        </w:rPr>
        <w:t xml:space="preserve"> such as sentence </w:t>
      </w:r>
      <w:r>
        <w:rPr>
          <w:color w:val="000000"/>
          <w:lang w:val="en-NZ"/>
        </w:rPr>
        <w:t>size (as a</w:t>
      </w:r>
      <w:r w:rsidRPr="00B269C4">
        <w:rPr>
          <w:color w:val="000000"/>
          <w:lang w:val="en-NZ"/>
        </w:rPr>
        <w:t xml:space="preserve"> </w:t>
      </w:r>
      <w:r>
        <w:rPr>
          <w:color w:val="000000"/>
          <w:lang w:val="en-NZ"/>
        </w:rPr>
        <w:t>not so reliable proxy for synt</w:t>
      </w:r>
      <w:r w:rsidRPr="00B269C4">
        <w:rPr>
          <w:color w:val="000000"/>
          <w:lang w:val="en-NZ"/>
        </w:rPr>
        <w:t>actic complication)</w:t>
      </w:r>
      <w:r>
        <w:rPr>
          <w:color w:val="000000"/>
          <w:lang w:val="en-NZ"/>
        </w:rPr>
        <w:t xml:space="preserve"> and </w:t>
      </w:r>
      <w:r w:rsidRPr="00B269C4">
        <w:rPr>
          <w:color w:val="000000"/>
          <w:lang w:val="en-NZ"/>
        </w:rPr>
        <w:t>statistical average word length (which is used as</w:t>
      </w:r>
      <w:r>
        <w:rPr>
          <w:color w:val="000000"/>
          <w:lang w:val="en-NZ"/>
        </w:rPr>
        <w:t xml:space="preserve"> a not so </w:t>
      </w:r>
      <w:r w:rsidRPr="00B269C4">
        <w:rPr>
          <w:color w:val="000000"/>
          <w:lang w:val="en-NZ"/>
        </w:rPr>
        <w:t xml:space="preserve">reliable proxy for </w:t>
      </w:r>
      <w:r>
        <w:rPr>
          <w:color w:val="000000"/>
          <w:lang w:val="en-NZ"/>
        </w:rPr>
        <w:t>semantic difficulty) of the written passage</w:t>
      </w:r>
      <w:r w:rsidRPr="00B269C4">
        <w:rPr>
          <w:color w:val="000000"/>
          <w:lang w:val="en-NZ"/>
        </w:rPr>
        <w:t xml:space="preserve">. Some readability formulas refer to a list of words graded for difficulty. </w:t>
      </w:r>
      <w:r>
        <w:rPr>
          <w:color w:val="000000"/>
          <w:lang w:val="en-NZ"/>
        </w:rPr>
        <w:t>Many of the readability formulas take into account word size in syllables instead of</w:t>
      </w:r>
      <w:r w:rsidRPr="00B269C4">
        <w:rPr>
          <w:color w:val="000000"/>
          <w:lang w:val="en-NZ"/>
        </w:rPr>
        <w:t xml:space="preserve"> letters, but SMOG </w:t>
      </w:r>
      <w:r>
        <w:rPr>
          <w:color w:val="000000"/>
          <w:lang w:val="en-NZ"/>
        </w:rPr>
        <w:t>is the only one that takes into count accurate syllable counter</w:t>
      </w:r>
      <w:r w:rsidRPr="00B269C4">
        <w:rPr>
          <w:color w:val="000000"/>
          <w:lang w:val="en-NZ"/>
        </w:rPr>
        <w:t>.</w:t>
      </w:r>
    </w:p>
    <w:p w:rsidR="00C45355" w:rsidRPr="00047F9D" w:rsidRDefault="00C45355" w:rsidP="00C45355">
      <w:pPr>
        <w:pStyle w:val="BodyText"/>
        <w:rPr>
          <w:color w:val="000000"/>
          <w:lang w:val="en-NZ"/>
        </w:rPr>
      </w:pPr>
      <w:r w:rsidRPr="006940D4">
        <w:rPr>
          <w:color w:val="000000"/>
          <w:lang w:val="en-NZ"/>
        </w:rPr>
        <w:t>Simple Measure of Gobbledygook</w:t>
      </w:r>
      <w:r>
        <w:rPr>
          <w:color w:val="000000"/>
          <w:lang w:val="en-NZ"/>
        </w:rPr>
        <w:t xml:space="preserve"> (</w:t>
      </w:r>
      <w:r w:rsidRPr="00441B89">
        <w:rPr>
          <w:color w:val="000000"/>
          <w:lang w:val="en-NZ"/>
        </w:rPr>
        <w:t>SMOG</w:t>
      </w:r>
      <w:r>
        <w:rPr>
          <w:color w:val="000000"/>
          <w:lang w:val="en-NZ"/>
        </w:rPr>
        <w:t>)</w:t>
      </w:r>
      <w:r w:rsidRPr="00441B89">
        <w:rPr>
          <w:color w:val="000000"/>
          <w:lang w:val="en-NZ"/>
        </w:rPr>
        <w:t xml:space="preserve"> Index </w:t>
      </w:r>
      <w:r>
        <w:rPr>
          <w:color w:val="000000"/>
          <w:lang w:val="en-NZ"/>
        </w:rPr>
        <w:t>approximates the years of schooling</w:t>
      </w:r>
      <w:r w:rsidRPr="00441B89">
        <w:rPr>
          <w:color w:val="000000"/>
          <w:lang w:val="en-NZ"/>
        </w:rPr>
        <w:t xml:space="preserve"> </w:t>
      </w:r>
      <w:r>
        <w:rPr>
          <w:color w:val="000000"/>
          <w:lang w:val="en-NZ"/>
        </w:rPr>
        <w:t>required</w:t>
      </w:r>
      <w:r w:rsidRPr="00441B89">
        <w:rPr>
          <w:color w:val="000000"/>
          <w:lang w:val="en-NZ"/>
        </w:rPr>
        <w:t xml:space="preserve"> to comprehend a </w:t>
      </w:r>
      <w:r>
        <w:rPr>
          <w:color w:val="000000"/>
          <w:lang w:val="en-NZ"/>
        </w:rPr>
        <w:t xml:space="preserve">written piece of work. It does so by counting the number of syllables in the three groups of 10 sentences taken from the beginning, middle, and end of a text passage. It counts the number of words with three or more syllables and the square root of the count round to the nearest 10 gives the index. Automated Reliability Index (ARI) takes into account both the sentence structure and word structure to calculate the Index. </w:t>
      </w:r>
      <w:r w:rsidRPr="00047F9D">
        <w:rPr>
          <w:color w:val="000000"/>
          <w:lang w:val="en-NZ"/>
        </w:rPr>
        <w:t xml:space="preserve">The </w:t>
      </w:r>
      <w:r>
        <w:rPr>
          <w:color w:val="000000"/>
          <w:lang w:val="en-NZ"/>
        </w:rPr>
        <w:t xml:space="preserve">index output for both SMOG and ARI is an indication of </w:t>
      </w:r>
      <w:r w:rsidRPr="00047F9D">
        <w:rPr>
          <w:color w:val="000000"/>
          <w:lang w:val="en-NZ"/>
        </w:rPr>
        <w:t xml:space="preserve">the </w:t>
      </w:r>
      <w:r>
        <w:rPr>
          <w:color w:val="000000"/>
          <w:lang w:val="en-NZ"/>
        </w:rPr>
        <w:t>approximate age</w:t>
      </w:r>
      <w:r w:rsidRPr="00047F9D">
        <w:rPr>
          <w:color w:val="000000"/>
          <w:lang w:val="en-NZ"/>
        </w:rPr>
        <w:t xml:space="preserve"> </w:t>
      </w:r>
      <w:r>
        <w:rPr>
          <w:color w:val="000000"/>
          <w:lang w:val="en-NZ"/>
        </w:rPr>
        <w:t>needed</w:t>
      </w:r>
      <w:r w:rsidRPr="00047F9D">
        <w:rPr>
          <w:color w:val="000000"/>
          <w:lang w:val="en-NZ"/>
        </w:rPr>
        <w:t xml:space="preserve"> to understand the text.</w:t>
      </w:r>
      <w:r>
        <w:rPr>
          <w:color w:val="000000"/>
          <w:lang w:val="en-NZ"/>
        </w:rPr>
        <w:t xml:space="preserve"> </w:t>
      </w:r>
      <w:r w:rsidRPr="00C81960">
        <w:rPr>
          <w:color w:val="000000"/>
          <w:lang w:val="en-NZ"/>
        </w:rPr>
        <w:t xml:space="preserve">Flesch-Kincaid </w:t>
      </w:r>
      <w:r>
        <w:rPr>
          <w:color w:val="000000"/>
          <w:lang w:val="en-NZ"/>
        </w:rPr>
        <w:t xml:space="preserve">Index indicates reading ease on a ranking scale of 0-100. The values close to the zero is an indication of the fact that text is hard to comprehend. </w:t>
      </w:r>
      <w:r w:rsidRPr="00EF35E0">
        <w:rPr>
          <w:color w:val="000000"/>
          <w:lang w:val="en-NZ"/>
        </w:rPr>
        <w:t>Gunning Fog Index</w:t>
      </w:r>
      <w:r>
        <w:rPr>
          <w:color w:val="000000"/>
          <w:lang w:val="en-NZ"/>
        </w:rPr>
        <w:t xml:space="preserve"> takes the numbers of words and syllables in a minimum of 100 sentence passage to find </w:t>
      </w:r>
      <w:r w:rsidRPr="00EF35E0">
        <w:rPr>
          <w:color w:val="000000"/>
          <w:lang w:val="en-NZ"/>
        </w:rPr>
        <w:t>Average Sentence Length</w:t>
      </w:r>
      <w:r>
        <w:rPr>
          <w:color w:val="000000"/>
          <w:lang w:val="en-NZ"/>
        </w:rPr>
        <w:t xml:space="preserve"> (ASL) and </w:t>
      </w:r>
      <w:r w:rsidRPr="00EF35E0">
        <w:rPr>
          <w:color w:val="000000"/>
          <w:lang w:val="en-NZ"/>
        </w:rPr>
        <w:t>Percent Hard Words</w:t>
      </w:r>
      <w:r>
        <w:rPr>
          <w:color w:val="000000"/>
          <w:lang w:val="en-NZ"/>
        </w:rPr>
        <w:t xml:space="preserve"> (PHW).</w:t>
      </w:r>
      <w:r w:rsidRPr="00EF35E0">
        <w:rPr>
          <w:color w:val="000000"/>
          <w:lang w:val="en-NZ"/>
        </w:rPr>
        <w:t xml:space="preserve"> </w:t>
      </w:r>
      <w:r>
        <w:rPr>
          <w:color w:val="000000"/>
          <w:lang w:val="en-NZ"/>
        </w:rPr>
        <w:t xml:space="preserve">Those </w:t>
      </w:r>
      <w:r w:rsidRPr="00F80FEA">
        <w:rPr>
          <w:color w:val="000000"/>
          <w:lang w:val="en-NZ"/>
        </w:rPr>
        <w:t xml:space="preserve">sentences </w:t>
      </w:r>
      <w:r>
        <w:rPr>
          <w:color w:val="000000"/>
          <w:lang w:val="en-NZ"/>
        </w:rPr>
        <w:t xml:space="preserve">which are </w:t>
      </w:r>
      <w:r w:rsidRPr="00F80FEA">
        <w:rPr>
          <w:color w:val="000000"/>
          <w:lang w:val="en-NZ"/>
        </w:rPr>
        <w:t xml:space="preserve">written in </w:t>
      </w:r>
      <w:r>
        <w:rPr>
          <w:color w:val="000000"/>
          <w:lang w:val="en-NZ"/>
        </w:rPr>
        <w:t>simple</w:t>
      </w:r>
      <w:r w:rsidRPr="00F80FEA">
        <w:rPr>
          <w:color w:val="000000"/>
          <w:lang w:val="en-NZ"/>
        </w:rPr>
        <w:t xml:space="preserve"> English receive a better score than lon</w:t>
      </w:r>
      <w:r>
        <w:rPr>
          <w:color w:val="000000"/>
          <w:lang w:val="en-NZ"/>
        </w:rPr>
        <w:t>ger sentences written in difficult</w:t>
      </w:r>
      <w:r w:rsidRPr="00F80FEA">
        <w:rPr>
          <w:color w:val="000000"/>
          <w:lang w:val="en-NZ"/>
        </w:rPr>
        <w:t xml:space="preserve"> language.</w:t>
      </w:r>
      <w:r>
        <w:rPr>
          <w:color w:val="000000"/>
          <w:lang w:val="en-NZ"/>
        </w:rPr>
        <w:t xml:space="preserve"> A score of 12 or above for a text indicates that it will be hard for most people to understand. Coleman-</w:t>
      </w:r>
      <w:proofErr w:type="spellStart"/>
      <w:r>
        <w:rPr>
          <w:color w:val="000000"/>
          <w:lang w:val="en-NZ"/>
        </w:rPr>
        <w:t>Liau</w:t>
      </w:r>
      <w:proofErr w:type="spellEnd"/>
      <w:r>
        <w:rPr>
          <w:color w:val="000000"/>
          <w:lang w:val="en-NZ"/>
        </w:rPr>
        <w:t xml:space="preserve"> formula does not take into account the </w:t>
      </w:r>
      <w:r w:rsidRPr="00047F9D">
        <w:rPr>
          <w:color w:val="000000"/>
          <w:lang w:val="en-NZ"/>
        </w:rPr>
        <w:t xml:space="preserve">word length in </w:t>
      </w:r>
      <w:r>
        <w:rPr>
          <w:color w:val="000000"/>
          <w:lang w:val="en-NZ"/>
        </w:rPr>
        <w:t>s</w:t>
      </w:r>
      <w:r w:rsidRPr="00047F9D">
        <w:rPr>
          <w:color w:val="000000"/>
          <w:lang w:val="en-NZ"/>
        </w:rPr>
        <w:t>yllables</w:t>
      </w:r>
      <w:r>
        <w:rPr>
          <w:color w:val="000000"/>
          <w:lang w:val="en-NZ"/>
        </w:rPr>
        <w:t xml:space="preserve">, instead, counts the number </w:t>
      </w:r>
      <w:r w:rsidRPr="00047F9D">
        <w:rPr>
          <w:color w:val="000000"/>
          <w:lang w:val="en-NZ"/>
        </w:rPr>
        <w:t xml:space="preserve">letters </w:t>
      </w:r>
      <w:r>
        <w:rPr>
          <w:color w:val="000000"/>
          <w:lang w:val="en-NZ"/>
        </w:rPr>
        <w:t xml:space="preserve">in the word to predict the readability. </w:t>
      </w:r>
      <w:r w:rsidRPr="00047F9D">
        <w:rPr>
          <w:color w:val="000000"/>
          <w:lang w:val="en-NZ"/>
        </w:rPr>
        <w:t xml:space="preserve">The </w:t>
      </w:r>
      <w:r>
        <w:rPr>
          <w:color w:val="000000"/>
          <w:lang w:val="en-NZ"/>
        </w:rPr>
        <w:t xml:space="preserve">index output is an indication of </w:t>
      </w:r>
      <w:r w:rsidRPr="00047F9D">
        <w:rPr>
          <w:color w:val="000000"/>
          <w:lang w:val="en-NZ"/>
        </w:rPr>
        <w:t xml:space="preserve">the U.S. school level a person </w:t>
      </w:r>
      <w:r>
        <w:rPr>
          <w:color w:val="000000"/>
          <w:lang w:val="en-NZ"/>
        </w:rPr>
        <w:t>required</w:t>
      </w:r>
      <w:r w:rsidRPr="00047F9D">
        <w:rPr>
          <w:color w:val="000000"/>
          <w:lang w:val="en-NZ"/>
        </w:rPr>
        <w:t xml:space="preserve"> to understand the text.</w:t>
      </w:r>
      <w:r>
        <w:rPr>
          <w:color w:val="000000"/>
          <w:lang w:val="en-NZ"/>
        </w:rPr>
        <w:t xml:space="preserve"> </w:t>
      </w:r>
    </w:p>
    <w:p w:rsidR="00C45355" w:rsidRPr="003642B5" w:rsidRDefault="009F296C" w:rsidP="00C45355">
      <w:pPr>
        <w:pStyle w:val="Heading2"/>
        <w:tabs>
          <w:tab w:val="clear" w:pos="288"/>
          <w:tab w:val="num" w:pos="360"/>
        </w:tabs>
      </w:pPr>
      <w:r>
        <w:t>Tone A</w:t>
      </w:r>
      <w:r w:rsidR="00C45355" w:rsidRPr="003642B5">
        <w:t>n</w:t>
      </w:r>
      <w:r w:rsidR="00C45355">
        <w:t>a</w:t>
      </w:r>
      <w:r w:rsidR="00C45355" w:rsidRPr="003642B5">
        <w:t>lysis</w:t>
      </w:r>
    </w:p>
    <w:p w:rsidR="00C45355" w:rsidRDefault="00C45355" w:rsidP="00C45355">
      <w:pPr>
        <w:pStyle w:val="BodyText"/>
        <w:rPr>
          <w:color w:val="000000"/>
          <w:lang w:val="en-NZ"/>
        </w:rPr>
      </w:pPr>
      <w:r>
        <w:rPr>
          <w:color w:val="000000"/>
          <w:lang w:val="en-NZ"/>
        </w:rPr>
        <w:t xml:space="preserve">The words and writing style used by an author </w:t>
      </w:r>
      <w:r w:rsidRPr="007733C9">
        <w:rPr>
          <w:color w:val="000000"/>
          <w:lang w:val="en-NZ"/>
        </w:rPr>
        <w:t xml:space="preserve">to convey his or her attitude towards a </w:t>
      </w:r>
      <w:r>
        <w:rPr>
          <w:color w:val="000000"/>
          <w:lang w:val="en-NZ"/>
        </w:rPr>
        <w:t>subject is referred to as tone [17]</w:t>
      </w:r>
      <w:r w:rsidRPr="007733C9">
        <w:rPr>
          <w:color w:val="000000"/>
          <w:lang w:val="en-NZ"/>
        </w:rPr>
        <w:t xml:space="preserve">. </w:t>
      </w:r>
      <w:r>
        <w:rPr>
          <w:color w:val="000000"/>
          <w:lang w:val="en-NZ"/>
        </w:rPr>
        <w:t>The t</w:t>
      </w:r>
      <w:r w:rsidRPr="007733C9">
        <w:rPr>
          <w:color w:val="000000"/>
          <w:lang w:val="en-NZ"/>
        </w:rPr>
        <w:t xml:space="preserve">one should not be confused with </w:t>
      </w:r>
      <w:r>
        <w:rPr>
          <w:color w:val="000000"/>
          <w:lang w:val="en-NZ"/>
        </w:rPr>
        <w:t xml:space="preserve">a </w:t>
      </w:r>
      <w:r w:rsidRPr="007733C9">
        <w:rPr>
          <w:color w:val="000000"/>
          <w:lang w:val="en-NZ"/>
        </w:rPr>
        <w:t xml:space="preserve">voice which is </w:t>
      </w:r>
      <w:r>
        <w:rPr>
          <w:color w:val="000000"/>
          <w:lang w:val="en-NZ"/>
        </w:rPr>
        <w:t xml:space="preserve">the </w:t>
      </w:r>
      <w:r w:rsidRPr="007733C9">
        <w:rPr>
          <w:color w:val="000000"/>
          <w:lang w:val="en-NZ"/>
        </w:rPr>
        <w:t xml:space="preserve">author’s personality expressed in writing. It is hard for </w:t>
      </w:r>
      <w:r>
        <w:rPr>
          <w:color w:val="000000"/>
          <w:lang w:val="en-NZ"/>
        </w:rPr>
        <w:t xml:space="preserve">the </w:t>
      </w:r>
      <w:r w:rsidRPr="007733C9">
        <w:rPr>
          <w:color w:val="000000"/>
          <w:lang w:val="en-NZ"/>
        </w:rPr>
        <w:t>author</w:t>
      </w:r>
      <w:r>
        <w:rPr>
          <w:color w:val="000000"/>
          <w:lang w:val="en-NZ"/>
        </w:rPr>
        <w:t>s to alter their</w:t>
      </w:r>
      <w:r w:rsidRPr="007733C9">
        <w:rPr>
          <w:color w:val="000000"/>
          <w:lang w:val="en-NZ"/>
        </w:rPr>
        <w:t xml:space="preserve"> personality but </w:t>
      </w:r>
      <w:r>
        <w:rPr>
          <w:color w:val="000000"/>
          <w:lang w:val="en-NZ"/>
        </w:rPr>
        <w:t>t</w:t>
      </w:r>
      <w:r w:rsidRPr="007733C9">
        <w:rPr>
          <w:color w:val="000000"/>
          <w:lang w:val="en-NZ"/>
        </w:rPr>
        <w:t>he</w:t>
      </w:r>
      <w:r>
        <w:rPr>
          <w:color w:val="000000"/>
          <w:lang w:val="en-NZ"/>
        </w:rPr>
        <w:t>y can adjust their</w:t>
      </w:r>
      <w:r w:rsidRPr="007733C9">
        <w:rPr>
          <w:color w:val="000000"/>
          <w:lang w:val="en-NZ"/>
        </w:rPr>
        <w:t xml:space="preserve"> attitude (tone) which </w:t>
      </w:r>
      <w:r>
        <w:rPr>
          <w:color w:val="000000"/>
          <w:lang w:val="en-NZ"/>
        </w:rPr>
        <w:t>can affect the mood of the audience</w:t>
      </w:r>
      <w:r w:rsidRPr="007733C9">
        <w:rPr>
          <w:color w:val="000000"/>
          <w:lang w:val="en-NZ"/>
        </w:rPr>
        <w:t xml:space="preserve">. </w:t>
      </w:r>
    </w:p>
    <w:p w:rsidR="00C45355" w:rsidRDefault="00C45355" w:rsidP="00C45355">
      <w:pPr>
        <w:pStyle w:val="BodyText"/>
        <w:rPr>
          <w:color w:val="000000"/>
          <w:lang w:val="en-NZ"/>
        </w:rPr>
      </w:pPr>
      <w:r>
        <w:rPr>
          <w:color w:val="000000"/>
          <w:lang w:val="en-NZ"/>
        </w:rPr>
        <w:t xml:space="preserve">When communicating verbally, tone of voice, pitch, intonation, eye contact, and body language play important roles when communicating the truth even if we do not make exact use of words. This luxury is not available when communicating in writing as written words do not carry emotions like verbal communication which can result in </w:t>
      </w:r>
      <w:r>
        <w:rPr>
          <w:color w:val="000000"/>
          <w:lang w:val="en-NZ"/>
        </w:rPr>
        <w:t>misunderstanding. Tone can help in achieving the same effect in the written communication as the verbal exchange has on other people. People tend to remember the tone of a text message more vividly than the contents and this is especially true for daily communication carried out via email and other messaging sources. In written communication, the t</w:t>
      </w:r>
      <w:r w:rsidRPr="00EA6F21">
        <w:rPr>
          <w:color w:val="000000"/>
          <w:lang w:val="en-NZ"/>
        </w:rPr>
        <w:t>one is communicated by diction, point of view, syntax, and formality level.</w:t>
      </w:r>
      <w:r w:rsidRPr="007733C9">
        <w:rPr>
          <w:color w:val="000000"/>
          <w:lang w:val="en-NZ"/>
        </w:rPr>
        <w:t xml:space="preserve"> It is </w:t>
      </w:r>
      <w:r>
        <w:rPr>
          <w:color w:val="000000"/>
          <w:lang w:val="en-NZ"/>
        </w:rPr>
        <w:t>how someone expresses one</w:t>
      </w:r>
      <w:r w:rsidRPr="007733C9">
        <w:rPr>
          <w:color w:val="000000"/>
          <w:lang w:val="en-NZ"/>
        </w:rPr>
        <w:t xml:space="preserve">self in speech or writing. In </w:t>
      </w:r>
      <w:r>
        <w:rPr>
          <w:color w:val="000000"/>
          <w:lang w:val="en-NZ"/>
        </w:rPr>
        <w:t xml:space="preserve">the case of </w:t>
      </w:r>
      <w:r w:rsidRPr="007733C9">
        <w:rPr>
          <w:color w:val="000000"/>
          <w:lang w:val="en-NZ"/>
        </w:rPr>
        <w:t>formal writing</w:t>
      </w:r>
      <w:r>
        <w:rPr>
          <w:color w:val="000000"/>
          <w:lang w:val="en-NZ"/>
        </w:rPr>
        <w:t>s</w:t>
      </w:r>
      <w:r w:rsidRPr="007733C9">
        <w:rPr>
          <w:color w:val="000000"/>
          <w:lang w:val="en-NZ"/>
        </w:rPr>
        <w:t xml:space="preserve">, </w:t>
      </w:r>
      <w:r>
        <w:rPr>
          <w:color w:val="000000"/>
          <w:lang w:val="en-NZ"/>
        </w:rPr>
        <w:t>the</w:t>
      </w:r>
      <w:r w:rsidRPr="007733C9">
        <w:rPr>
          <w:color w:val="000000"/>
          <w:lang w:val="en-NZ"/>
        </w:rPr>
        <w:t xml:space="preserve"> tone </w:t>
      </w:r>
      <w:r>
        <w:rPr>
          <w:color w:val="000000"/>
          <w:lang w:val="en-NZ"/>
        </w:rPr>
        <w:t>is normally</w:t>
      </w:r>
      <w:r w:rsidRPr="007733C9">
        <w:rPr>
          <w:color w:val="000000"/>
          <w:lang w:val="en-NZ"/>
        </w:rPr>
        <w:t xml:space="preserve"> clear, concise, confident, and courteous. The </w:t>
      </w:r>
      <w:r>
        <w:rPr>
          <w:color w:val="000000"/>
          <w:lang w:val="en-NZ"/>
        </w:rPr>
        <w:t xml:space="preserve">level of </w:t>
      </w:r>
      <w:r w:rsidRPr="007733C9">
        <w:rPr>
          <w:color w:val="000000"/>
          <w:lang w:val="en-NZ"/>
        </w:rPr>
        <w:t xml:space="preserve">writing </w:t>
      </w:r>
      <w:r>
        <w:rPr>
          <w:color w:val="000000"/>
          <w:lang w:val="en-NZ"/>
        </w:rPr>
        <w:t>must</w:t>
      </w:r>
      <w:r w:rsidRPr="007733C9">
        <w:rPr>
          <w:color w:val="000000"/>
          <w:lang w:val="en-NZ"/>
        </w:rPr>
        <w:t xml:space="preserve"> be sophisticated, but not pretentious</w:t>
      </w:r>
      <w:r>
        <w:rPr>
          <w:color w:val="000000"/>
          <w:lang w:val="en-NZ"/>
        </w:rPr>
        <w:t xml:space="preserve"> [17]</w:t>
      </w:r>
      <w:r w:rsidRPr="007733C9">
        <w:rPr>
          <w:color w:val="000000"/>
          <w:lang w:val="en-NZ"/>
        </w:rPr>
        <w:t>.</w:t>
      </w:r>
      <w:r>
        <w:rPr>
          <w:color w:val="000000"/>
          <w:lang w:val="en-NZ"/>
        </w:rPr>
        <w:t xml:space="preserve"> Therefore, the tone of the writer is </w:t>
      </w:r>
      <w:r w:rsidRPr="007733C9">
        <w:rPr>
          <w:color w:val="000000"/>
          <w:lang w:val="en-NZ"/>
        </w:rPr>
        <w:t>very important</w:t>
      </w:r>
      <w:r>
        <w:rPr>
          <w:color w:val="000000"/>
          <w:lang w:val="en-NZ"/>
        </w:rPr>
        <w:t xml:space="preserve"> when</w:t>
      </w:r>
      <w:r w:rsidRPr="007733C9">
        <w:rPr>
          <w:color w:val="000000"/>
          <w:lang w:val="en-NZ"/>
        </w:rPr>
        <w:t xml:space="preserve"> convey</w:t>
      </w:r>
      <w:r>
        <w:rPr>
          <w:color w:val="000000"/>
          <w:lang w:val="en-NZ"/>
        </w:rPr>
        <w:t>ing</w:t>
      </w:r>
      <w:r w:rsidRPr="007733C9">
        <w:rPr>
          <w:color w:val="000000"/>
          <w:lang w:val="en-NZ"/>
        </w:rPr>
        <w:t xml:space="preserve"> a </w:t>
      </w:r>
      <w:r>
        <w:rPr>
          <w:color w:val="000000"/>
          <w:lang w:val="en-NZ"/>
        </w:rPr>
        <w:t>specific</w:t>
      </w:r>
      <w:r w:rsidRPr="007733C9">
        <w:rPr>
          <w:color w:val="000000"/>
          <w:lang w:val="en-NZ"/>
        </w:rPr>
        <w:t xml:space="preserve"> message </w:t>
      </w:r>
      <w:r>
        <w:rPr>
          <w:color w:val="000000"/>
          <w:lang w:val="en-NZ"/>
        </w:rPr>
        <w:t>as it</w:t>
      </w:r>
      <w:r w:rsidRPr="007733C9">
        <w:rPr>
          <w:color w:val="000000"/>
          <w:lang w:val="en-NZ"/>
        </w:rPr>
        <w:t xml:space="preserve"> affects the reader in a particular way</w:t>
      </w:r>
      <w:r>
        <w:rPr>
          <w:color w:val="000000"/>
          <w:lang w:val="en-NZ"/>
        </w:rPr>
        <w:t xml:space="preserve"> and</w:t>
      </w:r>
      <w:r w:rsidRPr="007733C9">
        <w:rPr>
          <w:color w:val="000000"/>
          <w:lang w:val="en-NZ"/>
        </w:rPr>
        <w:t xml:space="preserve"> also affect</w:t>
      </w:r>
      <w:r>
        <w:rPr>
          <w:color w:val="000000"/>
          <w:lang w:val="en-NZ"/>
        </w:rPr>
        <w:t>s</w:t>
      </w:r>
      <w:r w:rsidRPr="007733C9">
        <w:rPr>
          <w:color w:val="000000"/>
          <w:lang w:val="en-NZ"/>
        </w:rPr>
        <w:t xml:space="preserve"> how the reader </w:t>
      </w:r>
      <w:r>
        <w:rPr>
          <w:color w:val="000000"/>
          <w:lang w:val="en-NZ"/>
        </w:rPr>
        <w:t>p</w:t>
      </w:r>
      <w:r w:rsidRPr="007733C9">
        <w:rPr>
          <w:color w:val="000000"/>
          <w:lang w:val="en-NZ"/>
        </w:rPr>
        <w:t xml:space="preserve">erceives the message </w:t>
      </w:r>
      <w:r>
        <w:rPr>
          <w:color w:val="000000"/>
          <w:lang w:val="en-NZ"/>
        </w:rPr>
        <w:t>being communicated</w:t>
      </w:r>
      <w:r w:rsidRPr="007733C9">
        <w:rPr>
          <w:color w:val="000000"/>
          <w:lang w:val="en-NZ"/>
        </w:rPr>
        <w:t>.</w:t>
      </w:r>
      <w:r>
        <w:rPr>
          <w:color w:val="000000"/>
          <w:lang w:val="en-NZ"/>
        </w:rPr>
        <w:t xml:space="preserve"> Some of the tones considered in this paper are described as follow: </w:t>
      </w:r>
    </w:p>
    <w:p w:rsidR="00C45355" w:rsidRPr="005611ED" w:rsidRDefault="00C45355" w:rsidP="00C45355">
      <w:pPr>
        <w:pStyle w:val="BodyText"/>
        <w:numPr>
          <w:ilvl w:val="0"/>
          <w:numId w:val="27"/>
        </w:numPr>
        <w:rPr>
          <w:lang w:val="en-US"/>
        </w:rPr>
      </w:pPr>
      <w:r>
        <w:rPr>
          <w:i/>
          <w:iCs/>
          <w:lang w:val="en-NZ"/>
        </w:rPr>
        <w:t>Analytical</w:t>
      </w:r>
      <w:r>
        <w:rPr>
          <w:lang w:val="en-US"/>
        </w:rPr>
        <w:t>: This tone indicates the rational and analytical approach to things.</w:t>
      </w:r>
    </w:p>
    <w:p w:rsidR="00C45355" w:rsidRPr="00471100" w:rsidRDefault="00C45355" w:rsidP="00C45355">
      <w:pPr>
        <w:pStyle w:val="BodyText"/>
        <w:numPr>
          <w:ilvl w:val="0"/>
          <w:numId w:val="27"/>
        </w:numPr>
        <w:rPr>
          <w:lang w:val="en-NZ"/>
        </w:rPr>
      </w:pPr>
      <w:r>
        <w:rPr>
          <w:i/>
          <w:iCs/>
          <w:lang w:val="en-NZ"/>
        </w:rPr>
        <w:t>T</w:t>
      </w:r>
      <w:r w:rsidRPr="003D6A8B">
        <w:rPr>
          <w:i/>
          <w:iCs/>
          <w:lang w:val="en-NZ"/>
        </w:rPr>
        <w:t>entative</w:t>
      </w:r>
      <w:r>
        <w:rPr>
          <w:lang w:val="en-NZ"/>
        </w:rPr>
        <w:t xml:space="preserve">: This tone indicates the </w:t>
      </w:r>
      <w:r w:rsidRPr="00471100">
        <w:rPr>
          <w:lang w:val="en-NZ"/>
        </w:rPr>
        <w:t xml:space="preserve">degree of </w:t>
      </w:r>
      <w:r>
        <w:rPr>
          <w:lang w:val="en-NZ"/>
        </w:rPr>
        <w:t>inhibition.</w:t>
      </w:r>
    </w:p>
    <w:p w:rsidR="00C45355" w:rsidRPr="00471100" w:rsidRDefault="00C45355" w:rsidP="00C45355">
      <w:pPr>
        <w:pStyle w:val="BodyText"/>
        <w:numPr>
          <w:ilvl w:val="0"/>
          <w:numId w:val="27"/>
        </w:numPr>
        <w:rPr>
          <w:lang w:val="en-NZ"/>
        </w:rPr>
      </w:pPr>
      <w:r w:rsidRPr="00857831">
        <w:rPr>
          <w:i/>
          <w:iCs/>
          <w:lang w:val="en-NZ"/>
        </w:rPr>
        <w:t>Confi</w:t>
      </w:r>
      <w:r w:rsidRPr="003D6A8B">
        <w:rPr>
          <w:i/>
          <w:iCs/>
          <w:lang w:val="en-NZ"/>
        </w:rPr>
        <w:t>den</w:t>
      </w:r>
      <w:r>
        <w:rPr>
          <w:i/>
          <w:iCs/>
          <w:lang w:val="en-NZ"/>
        </w:rPr>
        <w:t>t</w:t>
      </w:r>
      <w:r>
        <w:rPr>
          <w:lang w:val="en-NZ"/>
        </w:rPr>
        <w:t xml:space="preserve">: This tone indicates the </w:t>
      </w:r>
      <w:r w:rsidRPr="00471100">
        <w:rPr>
          <w:lang w:val="en-NZ"/>
        </w:rPr>
        <w:t>degree of certainty</w:t>
      </w:r>
      <w:r>
        <w:rPr>
          <w:lang w:val="en-NZ"/>
        </w:rPr>
        <w:t>.</w:t>
      </w:r>
    </w:p>
    <w:p w:rsidR="00C45355" w:rsidRDefault="00C45355" w:rsidP="00C45355">
      <w:pPr>
        <w:pStyle w:val="BodyText"/>
        <w:numPr>
          <w:ilvl w:val="0"/>
          <w:numId w:val="27"/>
        </w:numPr>
        <w:rPr>
          <w:lang w:val="en-NZ"/>
        </w:rPr>
      </w:pPr>
      <w:r>
        <w:rPr>
          <w:i/>
          <w:iCs/>
          <w:lang w:val="en-NZ"/>
        </w:rPr>
        <w:t>S</w:t>
      </w:r>
      <w:r w:rsidRPr="003D6A8B">
        <w:rPr>
          <w:i/>
          <w:iCs/>
          <w:lang w:val="en-NZ"/>
        </w:rPr>
        <w:t>adness</w:t>
      </w:r>
      <w:r>
        <w:rPr>
          <w:lang w:val="en-NZ"/>
        </w:rPr>
        <w:t xml:space="preserve">: This type of tone indicates the </w:t>
      </w:r>
      <w:r w:rsidRPr="005611ED">
        <w:rPr>
          <w:lang w:val="en-NZ"/>
        </w:rPr>
        <w:t>feeling of loss and disadvantage</w:t>
      </w:r>
      <w:r>
        <w:rPr>
          <w:lang w:val="en-NZ"/>
        </w:rPr>
        <w:t>.</w:t>
      </w:r>
      <w:r w:rsidRPr="003D6A8B">
        <w:rPr>
          <w:lang w:val="en-NZ"/>
        </w:rPr>
        <w:t xml:space="preserve"> </w:t>
      </w:r>
    </w:p>
    <w:p w:rsidR="00C45355" w:rsidRPr="005611ED" w:rsidRDefault="00C45355" w:rsidP="00C45355">
      <w:pPr>
        <w:pStyle w:val="BodyText"/>
        <w:numPr>
          <w:ilvl w:val="0"/>
          <w:numId w:val="27"/>
        </w:numPr>
        <w:spacing w:after="0"/>
        <w:textAlignment w:val="baseline"/>
      </w:pPr>
      <w:r w:rsidRPr="005611ED">
        <w:rPr>
          <w:i/>
          <w:iCs/>
          <w:lang w:val="en-NZ"/>
        </w:rPr>
        <w:t>Joy or happiness</w:t>
      </w:r>
      <w:r w:rsidRPr="005611ED">
        <w:rPr>
          <w:lang w:val="en-NZ"/>
        </w:rPr>
        <w:t>: This type of writing tone focuses on the positive feelings that are experienced during an action</w:t>
      </w:r>
      <w:r w:rsidRPr="005611ED">
        <w:rPr>
          <w:i/>
          <w:iCs/>
          <w:lang w:val="en-NZ"/>
        </w:rPr>
        <w:t xml:space="preserve"> </w:t>
      </w:r>
    </w:p>
    <w:p w:rsidR="00C45355" w:rsidRDefault="00C45355" w:rsidP="00C45355">
      <w:pPr>
        <w:pStyle w:val="BodyText"/>
        <w:numPr>
          <w:ilvl w:val="0"/>
          <w:numId w:val="27"/>
        </w:numPr>
        <w:spacing w:after="0"/>
        <w:textAlignment w:val="baseline"/>
      </w:pPr>
      <w:r w:rsidRPr="005611ED">
        <w:rPr>
          <w:i/>
          <w:iCs/>
          <w:lang w:val="en-NZ"/>
        </w:rPr>
        <w:t>Anger:</w:t>
      </w:r>
      <w:r w:rsidRPr="005611ED">
        <w:rPr>
          <w:lang w:val="en-NZ"/>
        </w:rPr>
        <w:t xml:space="preserve"> </w:t>
      </w:r>
      <w:r>
        <w:rPr>
          <w:lang w:val="en-NZ"/>
        </w:rPr>
        <w:t>This tone indicates the feelings e</w:t>
      </w:r>
      <w:r w:rsidRPr="005611ED">
        <w:rPr>
          <w:lang w:val="en-NZ"/>
        </w:rPr>
        <w:t xml:space="preserve">voked due to </w:t>
      </w:r>
      <w:r>
        <w:rPr>
          <w:lang w:val="en-NZ"/>
        </w:rPr>
        <w:t>disappointment or grief.</w:t>
      </w:r>
    </w:p>
    <w:p w:rsidR="00C45355" w:rsidRDefault="00C45355" w:rsidP="00C45355">
      <w:pPr>
        <w:pStyle w:val="BodyText"/>
        <w:numPr>
          <w:ilvl w:val="0"/>
          <w:numId w:val="27"/>
        </w:numPr>
        <w:rPr>
          <w:lang w:val="en-NZ"/>
        </w:rPr>
      </w:pPr>
      <w:r>
        <w:rPr>
          <w:i/>
          <w:iCs/>
          <w:lang w:val="en-NZ"/>
        </w:rPr>
        <w:t>F</w:t>
      </w:r>
      <w:r w:rsidRPr="003D6A8B">
        <w:rPr>
          <w:i/>
          <w:iCs/>
          <w:lang w:val="en-NZ"/>
        </w:rPr>
        <w:t>ear</w:t>
      </w:r>
      <w:r>
        <w:rPr>
          <w:lang w:val="en-NZ"/>
        </w:rPr>
        <w:t>:</w:t>
      </w:r>
      <w:r w:rsidRPr="003D6A8B">
        <w:rPr>
          <w:lang w:val="en-NZ"/>
        </w:rPr>
        <w:t xml:space="preserve"> </w:t>
      </w:r>
      <w:r>
        <w:rPr>
          <w:lang w:val="en-NZ"/>
        </w:rPr>
        <w:t xml:space="preserve">This tone indicates the response to </w:t>
      </w:r>
      <w:r w:rsidRPr="005A052C">
        <w:rPr>
          <w:lang w:val="en-NZ"/>
        </w:rPr>
        <w:t>impending danger.</w:t>
      </w:r>
    </w:p>
    <w:p w:rsidR="00C45355" w:rsidRPr="006B6B66" w:rsidRDefault="00C45355" w:rsidP="00C45355">
      <w:pPr>
        <w:pStyle w:val="Heading1"/>
      </w:pPr>
      <w:r>
        <w:t>Writing Activities</w:t>
      </w:r>
    </w:p>
    <w:p w:rsidR="00C45355" w:rsidRDefault="00C45355" w:rsidP="00C45355">
      <w:pPr>
        <w:pStyle w:val="BodyText"/>
        <w:rPr>
          <w:lang w:val="en-NZ"/>
        </w:rPr>
      </w:pPr>
      <w:r>
        <w:rPr>
          <w:lang w:val="en-NZ"/>
        </w:rPr>
        <w:t>This instruction methodology, in-</w:t>
      </w:r>
      <w:r w:rsidRPr="008851E2">
        <w:rPr>
          <w:lang w:val="en-NZ"/>
        </w:rPr>
        <w:t>class simple writing exercise</w:t>
      </w:r>
      <w:r>
        <w:rPr>
          <w:lang w:val="en-NZ"/>
        </w:rPr>
        <w:t>s, was embedded in Digital System Design I course taught during semester one of the third-year of a computer systems engineering program. This methodology had</w:t>
      </w:r>
      <w:r w:rsidRPr="008851E2">
        <w:rPr>
          <w:lang w:val="en-NZ"/>
        </w:rPr>
        <w:t xml:space="preserve"> been perceived well by the previous ye</w:t>
      </w:r>
      <w:r>
        <w:rPr>
          <w:lang w:val="en-NZ"/>
        </w:rPr>
        <w:t>ar students [12]. This course emphasizes on d</w:t>
      </w:r>
      <w:r w:rsidRPr="004452A3">
        <w:rPr>
          <w:lang w:val="en-NZ"/>
        </w:rPr>
        <w:t xml:space="preserve">igital </w:t>
      </w:r>
      <w:r>
        <w:rPr>
          <w:lang w:val="en-NZ"/>
        </w:rPr>
        <w:t>s</w:t>
      </w:r>
      <w:r w:rsidRPr="004452A3">
        <w:rPr>
          <w:lang w:val="en-NZ"/>
        </w:rPr>
        <w:t xml:space="preserve">ystems implementation technologies with </w:t>
      </w:r>
      <w:r>
        <w:rPr>
          <w:lang w:val="en-NZ"/>
        </w:rPr>
        <w:t>a focus</w:t>
      </w:r>
      <w:r w:rsidRPr="004452A3">
        <w:rPr>
          <w:lang w:val="en-NZ"/>
        </w:rPr>
        <w:t xml:space="preserve"> on hardware description languages and design abstraction levels; </w:t>
      </w:r>
      <w:r>
        <w:rPr>
          <w:lang w:val="en-NZ"/>
        </w:rPr>
        <w:t>register-transfer level</w:t>
      </w:r>
      <w:r w:rsidRPr="004452A3">
        <w:rPr>
          <w:lang w:val="en-NZ"/>
        </w:rPr>
        <w:t xml:space="preserve"> design; data</w:t>
      </w:r>
      <w:r>
        <w:rPr>
          <w:lang w:val="en-NZ"/>
        </w:rPr>
        <w:t>-</w:t>
      </w:r>
      <w:r w:rsidRPr="004452A3">
        <w:rPr>
          <w:lang w:val="en-NZ"/>
        </w:rPr>
        <w:t>path and control</w:t>
      </w:r>
      <w:r>
        <w:rPr>
          <w:lang w:val="en-NZ"/>
        </w:rPr>
        <w:t>-path</w:t>
      </w:r>
      <w:r w:rsidRPr="004452A3">
        <w:rPr>
          <w:lang w:val="en-NZ"/>
        </w:rPr>
        <w:t xml:space="preserve"> units; behavioural</w:t>
      </w:r>
      <w:r>
        <w:rPr>
          <w:lang w:val="en-NZ"/>
        </w:rPr>
        <w:t>,</w:t>
      </w:r>
      <w:r w:rsidRPr="004452A3">
        <w:rPr>
          <w:lang w:val="en-NZ"/>
        </w:rPr>
        <w:t xml:space="preserve"> architectural</w:t>
      </w:r>
      <w:r>
        <w:rPr>
          <w:lang w:val="en-NZ"/>
        </w:rPr>
        <w:t>,</w:t>
      </w:r>
      <w:r w:rsidRPr="004452A3">
        <w:rPr>
          <w:lang w:val="en-NZ"/>
        </w:rPr>
        <w:t xml:space="preserve"> and </w:t>
      </w:r>
      <w:r>
        <w:rPr>
          <w:lang w:val="en-NZ"/>
        </w:rPr>
        <w:t>structural level</w:t>
      </w:r>
      <w:r w:rsidRPr="004452A3">
        <w:rPr>
          <w:lang w:val="en-NZ"/>
        </w:rPr>
        <w:t xml:space="preserve"> modelling; functional and timing simulations; implementation design flow </w:t>
      </w:r>
      <w:r>
        <w:rPr>
          <w:lang w:val="en-NZ"/>
        </w:rPr>
        <w:t xml:space="preserve">for </w:t>
      </w:r>
      <w:r w:rsidRPr="00B269C4">
        <w:rPr>
          <w:color w:val="000000"/>
          <w:lang w:val="en-US"/>
        </w:rPr>
        <w:t>Field Programmable Gate Arrays</w:t>
      </w:r>
      <w:r w:rsidRPr="004452A3">
        <w:rPr>
          <w:lang w:val="en-NZ"/>
        </w:rPr>
        <w:t xml:space="preserve"> </w:t>
      </w:r>
      <w:r>
        <w:rPr>
          <w:lang w:val="en-NZ"/>
        </w:rPr>
        <w:t>(</w:t>
      </w:r>
      <w:r w:rsidRPr="004452A3">
        <w:rPr>
          <w:lang w:val="en-NZ"/>
        </w:rPr>
        <w:t>FPGA</w:t>
      </w:r>
      <w:r>
        <w:rPr>
          <w:lang w:val="en-NZ"/>
        </w:rPr>
        <w:t>)</w:t>
      </w:r>
      <w:r w:rsidRPr="004452A3">
        <w:rPr>
          <w:lang w:val="en-NZ"/>
        </w:rPr>
        <w:t xml:space="preserve"> and case studies.</w:t>
      </w:r>
    </w:p>
    <w:p w:rsidR="00C45355" w:rsidRDefault="00C45355" w:rsidP="00C45355">
      <w:pPr>
        <w:pStyle w:val="BodyText"/>
        <w:rPr>
          <w:color w:val="000000"/>
          <w:lang w:val="en-NZ"/>
        </w:rPr>
      </w:pPr>
      <w:r w:rsidRPr="00B269C4">
        <w:rPr>
          <w:color w:val="000000"/>
        </w:rPr>
        <w:t xml:space="preserve">Design Flow is a term used to describe the various design phases of an </w:t>
      </w:r>
      <w:r w:rsidRPr="00B269C4">
        <w:rPr>
          <w:color w:val="000000"/>
          <w:lang w:val="en-NZ"/>
        </w:rPr>
        <w:t>Integrated Circuit (</w:t>
      </w:r>
      <w:r w:rsidRPr="00B269C4">
        <w:rPr>
          <w:color w:val="000000"/>
        </w:rPr>
        <w:t>IC</w:t>
      </w:r>
      <w:r w:rsidRPr="00B269C4">
        <w:rPr>
          <w:color w:val="000000"/>
          <w:lang w:val="en-NZ"/>
        </w:rPr>
        <w:t>)</w:t>
      </w:r>
      <w:r w:rsidRPr="00B269C4">
        <w:rPr>
          <w:color w:val="000000"/>
        </w:rPr>
        <w:t xml:space="preserve"> design. </w:t>
      </w:r>
      <w:r w:rsidRPr="00B269C4">
        <w:rPr>
          <w:color w:val="000000"/>
          <w:lang w:val="en-NZ"/>
        </w:rPr>
        <w:t xml:space="preserve">The design is usually based on the specification, assuming that they are provided, </w:t>
      </w:r>
      <w:r w:rsidRPr="00B269C4">
        <w:rPr>
          <w:color w:val="000000"/>
        </w:rPr>
        <w:t>the most general approach adopted is</w:t>
      </w:r>
      <w:r>
        <w:rPr>
          <w:color w:val="000000"/>
          <w:lang w:val="en-NZ"/>
        </w:rPr>
        <w:t xml:space="preserve"> shown in Figure 1.</w:t>
      </w:r>
      <w:r w:rsidRPr="00B269C4">
        <w:rPr>
          <w:color w:val="000000"/>
          <w:lang w:val="en-NZ"/>
        </w:rPr>
        <w:t xml:space="preserve"> </w:t>
      </w:r>
      <w:r w:rsidRPr="00B269C4">
        <w:rPr>
          <w:color w:val="000000"/>
        </w:rPr>
        <w:t>The informal specification</w:t>
      </w:r>
      <w:r>
        <w:rPr>
          <w:color w:val="000000"/>
          <w:lang w:val="en-NZ"/>
        </w:rPr>
        <w:t>s</w:t>
      </w:r>
      <w:r w:rsidRPr="00B269C4">
        <w:rPr>
          <w:color w:val="000000"/>
        </w:rPr>
        <w:t xml:space="preserve"> of a </w:t>
      </w:r>
      <w:r w:rsidRPr="00B269C4">
        <w:rPr>
          <w:color w:val="000000"/>
          <w:lang w:val="en-NZ"/>
        </w:rPr>
        <w:t>digital system are provided</w:t>
      </w:r>
      <w:r w:rsidRPr="00B269C4">
        <w:rPr>
          <w:color w:val="000000"/>
        </w:rPr>
        <w:t xml:space="preserve"> by some tender documents whi</w:t>
      </w:r>
      <w:r>
        <w:rPr>
          <w:color w:val="000000"/>
        </w:rPr>
        <w:t>ch are usually given in a human-</w:t>
      </w:r>
      <w:r w:rsidRPr="00B269C4">
        <w:rPr>
          <w:color w:val="000000"/>
        </w:rPr>
        <w:t>readable text or presentation format.</w:t>
      </w:r>
      <w:r w:rsidRPr="00B269C4">
        <w:rPr>
          <w:color w:val="000000"/>
          <w:lang w:val="en-NZ"/>
        </w:rPr>
        <w:t xml:space="preserve"> These informal specifications are produced by an engineer working in a professional environment. Unfortunately, in the academic environment, students are often provided with the informal specification of a digital system and they never get </w:t>
      </w:r>
      <w:r>
        <w:rPr>
          <w:color w:val="000000"/>
          <w:lang w:val="en-NZ"/>
        </w:rPr>
        <w:t xml:space="preserve">a </w:t>
      </w:r>
      <w:r w:rsidRPr="00B269C4">
        <w:rPr>
          <w:color w:val="000000"/>
          <w:lang w:val="en-NZ"/>
        </w:rPr>
        <w:t>chance to go through the two important steps of idea creation and communicating its effectiveness and finally writing down the informal specification of the system.</w:t>
      </w:r>
      <w:r>
        <w:rPr>
          <w:color w:val="000000"/>
          <w:lang w:val="en-NZ"/>
        </w:rPr>
        <w:t xml:space="preserve"> </w:t>
      </w:r>
      <w:r w:rsidRPr="00B269C4">
        <w:rPr>
          <w:color w:val="000000"/>
          <w:lang w:val="en-NZ"/>
        </w:rPr>
        <w:t xml:space="preserve">The FPGA design normally starts with the architecture design and steps of problem identification, devising a solution and writing </w:t>
      </w:r>
      <w:r w:rsidR="00D215CE" w:rsidRPr="00B269C4">
        <w:rPr>
          <w:noProof/>
          <w:color w:val="000000"/>
          <w:lang w:val="en-NZ" w:eastAsia="en-NZ"/>
        </w:rPr>
        <w:lastRenderedPageBreak/>
        <mc:AlternateContent>
          <mc:Choice Requires="wps">
            <w:drawing>
              <wp:anchor distT="45720" distB="45720" distL="114300" distR="114300" simplePos="0" relativeHeight="251659264" behindDoc="0" locked="0" layoutInCell="1" allowOverlap="1">
                <wp:simplePos x="0" y="0"/>
                <wp:positionH relativeFrom="column">
                  <wp:posOffset>35560</wp:posOffset>
                </wp:positionH>
                <wp:positionV relativeFrom="paragraph">
                  <wp:posOffset>2540</wp:posOffset>
                </wp:positionV>
                <wp:extent cx="3051810" cy="3164205"/>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3164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355" w:rsidRDefault="00C45355" w:rsidP="00C45355">
                            <w:pPr>
                              <w:rPr>
                                <w:noProof/>
                                <w:lang w:val="en-NZ" w:eastAsia="en-NZ"/>
                              </w:rPr>
                            </w:pPr>
                            <w:r w:rsidRPr="00D25C82">
                              <w:rPr>
                                <w:noProof/>
                                <w:lang w:val="en-NZ" w:eastAsia="en-NZ"/>
                              </w:rPr>
                              <w:drawing>
                                <wp:inline distT="0" distB="0" distL="0" distR="0">
                                  <wp:extent cx="2409805" cy="2945081"/>
                                  <wp:effectExtent l="0" t="0" r="0" b="8255"/>
                                  <wp:docPr id="12" name="Picture 12" descr="https://www.fpgacentral.com/files/tutorial_fpga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pgacentral.com/files/tutorial_fpga_fl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507" cy="2976491"/>
                                          </a:xfrm>
                                          <a:prstGeom prst="rect">
                                            <a:avLst/>
                                          </a:prstGeom>
                                          <a:noFill/>
                                          <a:ln>
                                            <a:noFill/>
                                          </a:ln>
                                        </pic:spPr>
                                      </pic:pic>
                                    </a:graphicData>
                                  </a:graphic>
                                </wp:inline>
                              </w:drawing>
                            </w:r>
                          </w:p>
                          <w:p w:rsidR="00C45355" w:rsidRPr="007866DC" w:rsidRDefault="00C45355" w:rsidP="00C45355">
                            <w:pPr>
                              <w:jc w:val="left"/>
                              <w:rPr>
                                <w:sz w:val="16"/>
                                <w:szCs w:val="16"/>
                              </w:rPr>
                            </w:pPr>
                            <w:r>
                              <w:rPr>
                                <w:noProof/>
                                <w:sz w:val="16"/>
                                <w:szCs w:val="16"/>
                                <w:lang w:val="en-NZ" w:eastAsia="en-NZ"/>
                              </w:rPr>
                              <w:t xml:space="preserve">           </w:t>
                            </w:r>
                            <w:r w:rsidR="00EF75F3">
                              <w:rPr>
                                <w:noProof/>
                                <w:sz w:val="16"/>
                                <w:szCs w:val="16"/>
                                <w:lang w:val="en-NZ" w:eastAsia="en-NZ"/>
                              </w:rPr>
                              <w:t>Fig.</w:t>
                            </w:r>
                            <w:r w:rsidR="001F51B5">
                              <w:rPr>
                                <w:noProof/>
                                <w:sz w:val="16"/>
                                <w:szCs w:val="16"/>
                                <w:lang w:val="en-NZ" w:eastAsia="en-NZ"/>
                              </w:rPr>
                              <w:t xml:space="preserve"> 1.</w:t>
                            </w:r>
                            <w:r w:rsidRPr="007866DC">
                              <w:rPr>
                                <w:noProof/>
                                <w:sz w:val="16"/>
                                <w:szCs w:val="16"/>
                                <w:lang w:val="en-NZ" w:eastAsia="en-NZ"/>
                              </w:rPr>
                              <w:t xml:space="preserve"> FPGA design flow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8pt;margin-top:.2pt;width:240.3pt;height:249.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6y0hAIAABI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" stroked="f">
                <v:textbox>
                  <w:txbxContent>
                    <w:p w:rsidR="00C45355" w:rsidRDefault="00C45355" w:rsidP="00C45355">
                      <w:pPr>
                        <w:rPr>
                          <w:noProof/>
                          <w:lang w:val="en-NZ" w:eastAsia="en-NZ"/>
                        </w:rPr>
                      </w:pPr>
                      <w:r w:rsidRPr="00D25C82">
                        <w:rPr>
                          <w:noProof/>
                          <w:lang w:val="en-NZ" w:eastAsia="en-NZ"/>
                        </w:rPr>
                        <w:drawing>
                          <wp:inline distT="0" distB="0" distL="0" distR="0">
                            <wp:extent cx="2409805" cy="2945081"/>
                            <wp:effectExtent l="0" t="0" r="0" b="8255"/>
                            <wp:docPr id="12" name="Picture 12" descr="https://www.fpgacentral.com/files/tutorial_fpga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pgacentral.com/files/tutorial_fpga_fl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507" cy="2976491"/>
                                    </a:xfrm>
                                    <a:prstGeom prst="rect">
                                      <a:avLst/>
                                    </a:prstGeom>
                                    <a:noFill/>
                                    <a:ln>
                                      <a:noFill/>
                                    </a:ln>
                                  </pic:spPr>
                                </pic:pic>
                              </a:graphicData>
                            </a:graphic>
                          </wp:inline>
                        </w:drawing>
                      </w:r>
                    </w:p>
                    <w:p w:rsidR="00C45355" w:rsidRPr="007866DC" w:rsidRDefault="00C45355" w:rsidP="00C45355">
                      <w:pPr>
                        <w:jc w:val="left"/>
                        <w:rPr>
                          <w:sz w:val="16"/>
                          <w:szCs w:val="16"/>
                        </w:rPr>
                      </w:pPr>
                      <w:r>
                        <w:rPr>
                          <w:noProof/>
                          <w:sz w:val="16"/>
                          <w:szCs w:val="16"/>
                          <w:lang w:val="en-NZ" w:eastAsia="en-NZ"/>
                        </w:rPr>
                        <w:t xml:space="preserve">           </w:t>
                      </w:r>
                      <w:r w:rsidR="00EF75F3">
                        <w:rPr>
                          <w:noProof/>
                          <w:sz w:val="16"/>
                          <w:szCs w:val="16"/>
                          <w:lang w:val="en-NZ" w:eastAsia="en-NZ"/>
                        </w:rPr>
                        <w:t>Fig.</w:t>
                      </w:r>
                      <w:r w:rsidR="001F51B5">
                        <w:rPr>
                          <w:noProof/>
                          <w:sz w:val="16"/>
                          <w:szCs w:val="16"/>
                          <w:lang w:val="en-NZ" w:eastAsia="en-NZ"/>
                        </w:rPr>
                        <w:t xml:space="preserve"> 1.</w:t>
                      </w:r>
                      <w:r w:rsidRPr="007866DC">
                        <w:rPr>
                          <w:noProof/>
                          <w:sz w:val="16"/>
                          <w:szCs w:val="16"/>
                          <w:lang w:val="en-NZ" w:eastAsia="en-NZ"/>
                        </w:rPr>
                        <w:t xml:space="preserve"> FPGA design flow</w:t>
                      </w:r>
                    </w:p>
                  </w:txbxContent>
                </v:textbox>
                <w10:wrap type="square"/>
              </v:shape>
            </w:pict>
          </mc:Fallback>
        </mc:AlternateContent>
      </w:r>
      <w:r w:rsidRPr="00B269C4">
        <w:rPr>
          <w:color w:val="000000"/>
          <w:lang w:val="en-NZ"/>
        </w:rPr>
        <w:t xml:space="preserve">specification are missing. It means they seldom get a chance of going through these important steps of identifying the existing problem to be solved and they only work with the provided specification.  The writing exercises are designed to fill the gap identified. Furthermore, </w:t>
      </w:r>
      <w:r w:rsidRPr="00B269C4">
        <w:rPr>
          <w:color w:val="000000"/>
        </w:rPr>
        <w:t xml:space="preserve">the idea for a project comes from inspiration, research, observation, </w:t>
      </w:r>
      <w:r w:rsidRPr="00B269C4">
        <w:rPr>
          <w:color w:val="000000"/>
          <w:lang w:val="en-NZ"/>
        </w:rPr>
        <w:t xml:space="preserve">and </w:t>
      </w:r>
      <w:r w:rsidRPr="00B269C4">
        <w:rPr>
          <w:color w:val="000000"/>
        </w:rPr>
        <w:t>somebody’s comment</w:t>
      </w:r>
      <w:r w:rsidRPr="00B269C4">
        <w:rPr>
          <w:color w:val="000000"/>
          <w:lang w:val="en-NZ"/>
        </w:rPr>
        <w:t xml:space="preserve">. Therefore, this activity </w:t>
      </w:r>
      <w:r>
        <w:rPr>
          <w:color w:val="000000"/>
          <w:lang w:val="en-NZ"/>
        </w:rPr>
        <w:t>can help</w:t>
      </w:r>
      <w:r w:rsidRPr="00B269C4">
        <w:rPr>
          <w:color w:val="000000"/>
          <w:lang w:val="en-NZ"/>
        </w:rPr>
        <w:t xml:space="preserve"> students in developing </w:t>
      </w:r>
      <w:r>
        <w:rPr>
          <w:color w:val="000000"/>
          <w:lang w:val="en-NZ"/>
        </w:rPr>
        <w:t xml:space="preserve">the </w:t>
      </w:r>
      <w:r w:rsidRPr="00B269C4">
        <w:rPr>
          <w:color w:val="000000"/>
          <w:lang w:val="en-NZ"/>
        </w:rPr>
        <w:t>aforementioned attributes</w:t>
      </w:r>
      <w:r>
        <w:rPr>
          <w:color w:val="000000"/>
          <w:lang w:val="en-NZ"/>
        </w:rPr>
        <w:t xml:space="preserve"> [12]</w:t>
      </w:r>
      <w:r w:rsidRPr="00B269C4">
        <w:rPr>
          <w:color w:val="000000"/>
          <w:lang w:val="en-NZ"/>
        </w:rPr>
        <w:t>.</w:t>
      </w:r>
    </w:p>
    <w:p w:rsidR="00C45355" w:rsidRDefault="00C45355" w:rsidP="00C45355">
      <w:pPr>
        <w:pStyle w:val="BodyText"/>
        <w:ind w:firstLine="0"/>
        <w:rPr>
          <w:lang w:val="en-NZ"/>
        </w:rPr>
      </w:pPr>
      <w:r>
        <w:rPr>
          <w:lang w:val="en-NZ"/>
        </w:rPr>
        <w:tab/>
        <w:t>There were a total of four short writing exercises and only the related one is described here. The students were asked to identify an existing problem faced by the community regardless the scale and propose a real-world digital system which could solve that particular problem. The students were also asked to provide a brief description of the problem. These artefacts were peer reviewed and submitted again after incorporating the feedback provided.</w:t>
      </w:r>
    </w:p>
    <w:p w:rsidR="00C45355" w:rsidRDefault="00C45355" w:rsidP="00C45355">
      <w:pPr>
        <w:pStyle w:val="BodyText"/>
        <w:ind w:firstLine="0"/>
      </w:pPr>
      <w:r>
        <w:rPr>
          <w:lang w:val="en-NZ"/>
        </w:rPr>
        <w:t xml:space="preserve"> </w:t>
      </w:r>
      <w:r>
        <w:rPr>
          <w:i/>
          <w:iCs/>
          <w:lang w:val="en-NZ"/>
        </w:rPr>
        <w:tab/>
      </w:r>
      <w:r w:rsidRPr="004452A3">
        <w:t>This activity was mainly a practice of pitching an idea for students by answer</w:t>
      </w:r>
      <w:r>
        <w:rPr>
          <w:lang w:val="en-NZ"/>
        </w:rPr>
        <w:t>ing</w:t>
      </w:r>
      <w:r w:rsidRPr="004452A3">
        <w:t xml:space="preserve"> </w:t>
      </w:r>
      <w:r>
        <w:rPr>
          <w:lang w:val="en-NZ"/>
        </w:rPr>
        <w:t xml:space="preserve">the </w:t>
      </w:r>
      <w:r w:rsidRPr="004452A3">
        <w:t>following simple questions:</w:t>
      </w:r>
    </w:p>
    <w:p w:rsidR="00C45355" w:rsidRDefault="00C45355" w:rsidP="00C45355">
      <w:pPr>
        <w:pStyle w:val="bulletlist"/>
        <w:numPr>
          <w:ilvl w:val="0"/>
          <w:numId w:val="26"/>
        </w:numPr>
        <w:rPr>
          <w:lang w:val="en-NZ"/>
        </w:rPr>
      </w:pPr>
      <w:r w:rsidRPr="004452A3">
        <w:rPr>
          <w:lang w:val="en-NZ"/>
        </w:rPr>
        <w:t>What</w:t>
      </w:r>
      <w:r>
        <w:rPr>
          <w:lang w:val="en-NZ"/>
        </w:rPr>
        <w:t xml:space="preserve"> </w:t>
      </w:r>
      <w:r w:rsidRPr="004452A3">
        <w:rPr>
          <w:lang w:val="en-NZ"/>
        </w:rPr>
        <w:t>is</w:t>
      </w:r>
      <w:r>
        <w:rPr>
          <w:lang w:val="en-NZ"/>
        </w:rPr>
        <w:t xml:space="preserve"> </w:t>
      </w:r>
      <w:r w:rsidRPr="004452A3">
        <w:rPr>
          <w:lang w:val="en-NZ"/>
        </w:rPr>
        <w:t>it</w:t>
      </w:r>
      <w:r>
        <w:rPr>
          <w:lang w:val="en-NZ"/>
        </w:rPr>
        <w:t xml:space="preserve"> (idea)</w:t>
      </w:r>
      <w:r w:rsidRPr="004452A3">
        <w:rPr>
          <w:lang w:val="en-NZ"/>
        </w:rPr>
        <w:t>?</w:t>
      </w:r>
      <w:r>
        <w:rPr>
          <w:lang w:val="en-NZ"/>
        </w:rPr>
        <w:t xml:space="preserve"> </w:t>
      </w:r>
    </w:p>
    <w:p w:rsidR="00C45355" w:rsidRDefault="00C45355" w:rsidP="00C45355">
      <w:pPr>
        <w:pStyle w:val="bulletlist"/>
        <w:numPr>
          <w:ilvl w:val="0"/>
          <w:numId w:val="26"/>
        </w:numPr>
        <w:rPr>
          <w:lang w:val="en-NZ"/>
        </w:rPr>
      </w:pPr>
      <w:r w:rsidRPr="004452A3">
        <w:rPr>
          <w:lang w:val="en-NZ"/>
        </w:rPr>
        <w:t>What</w:t>
      </w:r>
      <w:r>
        <w:rPr>
          <w:lang w:val="en-NZ"/>
        </w:rPr>
        <w:t xml:space="preserve"> </w:t>
      </w:r>
      <w:r w:rsidRPr="004452A3">
        <w:rPr>
          <w:lang w:val="en-NZ"/>
        </w:rPr>
        <w:t>might</w:t>
      </w:r>
      <w:r>
        <w:rPr>
          <w:lang w:val="en-NZ"/>
        </w:rPr>
        <w:t xml:space="preserve"> </w:t>
      </w:r>
      <w:r w:rsidRPr="004452A3">
        <w:rPr>
          <w:lang w:val="en-NZ"/>
        </w:rPr>
        <w:t>the</w:t>
      </w:r>
      <w:r>
        <w:rPr>
          <w:lang w:val="en-NZ"/>
        </w:rPr>
        <w:t xml:space="preserve"> </w:t>
      </w:r>
      <w:r w:rsidRPr="004452A3">
        <w:rPr>
          <w:lang w:val="en-NZ"/>
        </w:rPr>
        <w:t>product/service</w:t>
      </w:r>
      <w:r>
        <w:rPr>
          <w:lang w:val="en-NZ"/>
        </w:rPr>
        <w:t xml:space="preserve"> </w:t>
      </w:r>
      <w:r w:rsidRPr="004452A3">
        <w:rPr>
          <w:lang w:val="en-NZ"/>
        </w:rPr>
        <w:t>do?</w:t>
      </w:r>
      <w:r>
        <w:rPr>
          <w:lang w:val="en-NZ"/>
        </w:rPr>
        <w:t xml:space="preserve"> </w:t>
      </w:r>
    </w:p>
    <w:p w:rsidR="00C45355" w:rsidRDefault="00C45355" w:rsidP="00C45355">
      <w:pPr>
        <w:pStyle w:val="bulletlist"/>
        <w:numPr>
          <w:ilvl w:val="0"/>
          <w:numId w:val="26"/>
        </w:numPr>
        <w:rPr>
          <w:lang w:val="en-NZ"/>
        </w:rPr>
      </w:pPr>
      <w:r w:rsidRPr="004452A3">
        <w:rPr>
          <w:lang w:val="en-NZ"/>
        </w:rPr>
        <w:t>What</w:t>
      </w:r>
      <w:r>
        <w:rPr>
          <w:lang w:val="en-NZ"/>
        </w:rPr>
        <w:t xml:space="preserve"> </w:t>
      </w:r>
      <w:r w:rsidRPr="004452A3">
        <w:rPr>
          <w:lang w:val="en-NZ"/>
        </w:rPr>
        <w:t>problem</w:t>
      </w:r>
      <w:r>
        <w:rPr>
          <w:lang w:val="en-NZ"/>
        </w:rPr>
        <w:t xml:space="preserve"> </w:t>
      </w:r>
      <w:r w:rsidRPr="004452A3">
        <w:rPr>
          <w:lang w:val="en-NZ"/>
        </w:rPr>
        <w:t>might</w:t>
      </w:r>
      <w:r>
        <w:rPr>
          <w:lang w:val="en-NZ"/>
        </w:rPr>
        <w:t xml:space="preserve"> </w:t>
      </w:r>
      <w:r w:rsidRPr="004452A3">
        <w:rPr>
          <w:lang w:val="en-NZ"/>
        </w:rPr>
        <w:t>it</w:t>
      </w:r>
      <w:r>
        <w:rPr>
          <w:lang w:val="en-NZ"/>
        </w:rPr>
        <w:t xml:space="preserve"> </w:t>
      </w:r>
      <w:r w:rsidRPr="004452A3">
        <w:rPr>
          <w:lang w:val="en-NZ"/>
        </w:rPr>
        <w:t>solve?</w:t>
      </w:r>
      <w:r>
        <w:rPr>
          <w:lang w:val="en-NZ"/>
        </w:rPr>
        <w:t xml:space="preserve"> </w:t>
      </w:r>
    </w:p>
    <w:p w:rsidR="00C45355" w:rsidRDefault="00C45355" w:rsidP="00C45355">
      <w:pPr>
        <w:pStyle w:val="bulletlist"/>
        <w:numPr>
          <w:ilvl w:val="0"/>
          <w:numId w:val="26"/>
        </w:numPr>
        <w:rPr>
          <w:lang w:val="en-NZ"/>
        </w:rPr>
      </w:pPr>
      <w:r w:rsidRPr="004452A3">
        <w:rPr>
          <w:lang w:val="en-NZ"/>
        </w:rPr>
        <w:t>Who</w:t>
      </w:r>
      <w:r>
        <w:rPr>
          <w:lang w:val="en-NZ"/>
        </w:rPr>
        <w:t xml:space="preserve"> </w:t>
      </w:r>
      <w:r w:rsidRPr="004452A3">
        <w:rPr>
          <w:lang w:val="en-NZ"/>
        </w:rPr>
        <w:t>will</w:t>
      </w:r>
      <w:r>
        <w:rPr>
          <w:lang w:val="en-NZ"/>
        </w:rPr>
        <w:t xml:space="preserve"> </w:t>
      </w:r>
      <w:r w:rsidRPr="004452A3">
        <w:rPr>
          <w:lang w:val="en-NZ"/>
        </w:rPr>
        <w:t>use</w:t>
      </w:r>
      <w:r>
        <w:rPr>
          <w:lang w:val="en-NZ"/>
        </w:rPr>
        <w:t xml:space="preserve"> </w:t>
      </w:r>
      <w:r w:rsidRPr="004452A3">
        <w:rPr>
          <w:lang w:val="en-NZ"/>
        </w:rPr>
        <w:t>it?</w:t>
      </w:r>
    </w:p>
    <w:p w:rsidR="00C45355" w:rsidRDefault="00C45355" w:rsidP="00C45355">
      <w:pPr>
        <w:pStyle w:val="bulletlist"/>
        <w:numPr>
          <w:ilvl w:val="0"/>
          <w:numId w:val="26"/>
        </w:numPr>
        <w:rPr>
          <w:lang w:val="en-NZ"/>
        </w:rPr>
      </w:pPr>
      <w:r w:rsidRPr="004452A3">
        <w:rPr>
          <w:lang w:val="en-NZ"/>
        </w:rPr>
        <w:t>What</w:t>
      </w:r>
      <w:r>
        <w:rPr>
          <w:lang w:val="en-NZ"/>
        </w:rPr>
        <w:t xml:space="preserve"> </w:t>
      </w:r>
      <w:r w:rsidRPr="004452A3">
        <w:rPr>
          <w:lang w:val="en-NZ"/>
        </w:rPr>
        <w:t>is</w:t>
      </w:r>
      <w:r>
        <w:rPr>
          <w:lang w:val="en-NZ"/>
        </w:rPr>
        <w:t xml:space="preserve"> </w:t>
      </w:r>
      <w:r w:rsidRPr="004452A3">
        <w:rPr>
          <w:lang w:val="en-NZ"/>
        </w:rPr>
        <w:t>valuable</w:t>
      </w:r>
      <w:r>
        <w:rPr>
          <w:lang w:val="en-NZ"/>
        </w:rPr>
        <w:t xml:space="preserve"> </w:t>
      </w:r>
      <w:r w:rsidRPr="004452A3">
        <w:rPr>
          <w:lang w:val="en-NZ"/>
        </w:rPr>
        <w:t>to</w:t>
      </w:r>
      <w:r>
        <w:rPr>
          <w:lang w:val="en-NZ"/>
        </w:rPr>
        <w:t xml:space="preserve"> </w:t>
      </w:r>
      <w:r w:rsidRPr="004452A3">
        <w:rPr>
          <w:lang w:val="en-NZ"/>
        </w:rPr>
        <w:t>the</w:t>
      </w:r>
      <w:r>
        <w:rPr>
          <w:lang w:val="en-NZ"/>
        </w:rPr>
        <w:t xml:space="preserve"> </w:t>
      </w:r>
      <w:r w:rsidRPr="004452A3">
        <w:rPr>
          <w:lang w:val="en-NZ"/>
        </w:rPr>
        <w:t>user?</w:t>
      </w:r>
    </w:p>
    <w:p w:rsidR="00C45355" w:rsidRPr="00061CB4" w:rsidRDefault="00C45355" w:rsidP="00C45355">
      <w:pPr>
        <w:pStyle w:val="bulletlist"/>
        <w:numPr>
          <w:ilvl w:val="0"/>
          <w:numId w:val="0"/>
        </w:numPr>
        <w:ind w:left="72" w:hanging="72"/>
        <w:rPr>
          <w:lang w:val="en-NZ"/>
        </w:rPr>
      </w:pPr>
      <w:r>
        <w:rPr>
          <w:lang w:val="en-NZ"/>
        </w:rPr>
        <w:tab/>
      </w:r>
      <w:r>
        <w:rPr>
          <w:lang w:val="en-NZ"/>
        </w:rPr>
        <w:tab/>
        <w:t xml:space="preserve">These pieces of writings can be termed as </w:t>
      </w:r>
      <w:r>
        <w:t>creative writing</w:t>
      </w:r>
      <w:r>
        <w:rPr>
          <w:lang w:val="en-NZ"/>
        </w:rPr>
        <w:t>s</w:t>
      </w:r>
      <w:r>
        <w:t xml:space="preserve"> </w:t>
      </w:r>
      <w:r>
        <w:rPr>
          <w:lang w:val="en-NZ"/>
        </w:rPr>
        <w:t xml:space="preserve">as they </w:t>
      </w:r>
      <w:r>
        <w:t xml:space="preserve">require saying things in words that </w:t>
      </w:r>
      <w:r>
        <w:rPr>
          <w:lang w:val="en-US"/>
        </w:rPr>
        <w:t>engender</w:t>
      </w:r>
      <w:r>
        <w:t xml:space="preserve"> illusions or that </w:t>
      </w:r>
      <w:r>
        <w:rPr>
          <w:lang w:val="en-US"/>
        </w:rPr>
        <w:t>sets up</w:t>
      </w:r>
      <w:r>
        <w:t xml:space="preserve"> a mood or other </w:t>
      </w:r>
      <w:r>
        <w:rPr>
          <w:lang w:val="en-US"/>
        </w:rPr>
        <w:t>covet</w:t>
      </w:r>
      <w:r>
        <w:t xml:space="preserve"> affect</w:t>
      </w:r>
      <w:r>
        <w:rPr>
          <w:lang w:val="en-NZ"/>
        </w:rPr>
        <w:t>s</w:t>
      </w:r>
      <w:r>
        <w:t xml:space="preserve">. </w:t>
      </w:r>
      <w:r>
        <w:rPr>
          <w:lang w:val="en-NZ"/>
        </w:rPr>
        <w:t xml:space="preserve">The students were asked to finish the activity within the stipulated lecture time. In order to ensure equitable access to writing activities </w:t>
      </w:r>
      <w:r w:rsidRPr="00061CB4">
        <w:t xml:space="preserve">and </w:t>
      </w:r>
      <w:r>
        <w:rPr>
          <w:lang w:val="en-NZ"/>
        </w:rPr>
        <w:t xml:space="preserve">valuing </w:t>
      </w:r>
      <w:r>
        <w:t>student</w:t>
      </w:r>
      <w:r w:rsidRPr="00061CB4">
        <w:t>s</w:t>
      </w:r>
      <w:r>
        <w:rPr>
          <w:lang w:val="en-NZ"/>
        </w:rPr>
        <w:t>’</w:t>
      </w:r>
      <w:r w:rsidRPr="00061CB4">
        <w:t xml:space="preserve"> </w:t>
      </w:r>
      <w:r>
        <w:rPr>
          <w:lang w:val="en-NZ"/>
        </w:rPr>
        <w:t xml:space="preserve">time and adherence to </w:t>
      </w:r>
      <w:r>
        <w:t xml:space="preserve">other </w:t>
      </w:r>
      <w:r>
        <w:rPr>
          <w:lang w:val="en-US"/>
        </w:rPr>
        <w:t>rendezvous</w:t>
      </w:r>
      <w:r w:rsidRPr="00061CB4">
        <w:t>, students w</w:t>
      </w:r>
      <w:r>
        <w:rPr>
          <w:lang w:val="en-NZ"/>
        </w:rPr>
        <w:t>ere</w:t>
      </w:r>
      <w:r w:rsidRPr="00061CB4">
        <w:t xml:space="preserve"> </w:t>
      </w:r>
      <w:r>
        <w:rPr>
          <w:lang w:val="en-US"/>
        </w:rPr>
        <w:t>permitted</w:t>
      </w:r>
      <w:r w:rsidRPr="00061CB4">
        <w:t xml:space="preserve"> to </w:t>
      </w:r>
      <w:r>
        <w:rPr>
          <w:lang w:val="en-US"/>
        </w:rPr>
        <w:t>accomplish</w:t>
      </w:r>
      <w:r w:rsidRPr="00061CB4">
        <w:t xml:space="preserve"> the activities </w:t>
      </w:r>
      <w:r>
        <w:rPr>
          <w:lang w:val="en-US"/>
        </w:rPr>
        <w:t xml:space="preserve">outside the </w:t>
      </w:r>
      <w:r w:rsidRPr="00061CB4">
        <w:t>lecture</w:t>
      </w:r>
      <w:r>
        <w:rPr>
          <w:lang w:val="en-US"/>
        </w:rPr>
        <w:t xml:space="preserve"> time and outside the classroom</w:t>
      </w:r>
      <w:r>
        <w:rPr>
          <w:lang w:val="en-NZ"/>
        </w:rPr>
        <w:t>. I</w:t>
      </w:r>
      <w:r>
        <w:t>t was not compulsory for</w:t>
      </w:r>
      <w:r w:rsidRPr="00891CC0">
        <w:t xml:space="preserve"> students to complete the activities </w:t>
      </w:r>
      <w:r>
        <w:rPr>
          <w:lang w:val="en-US"/>
        </w:rPr>
        <w:t xml:space="preserve">for passing the course </w:t>
      </w:r>
      <w:r w:rsidRPr="00891CC0">
        <w:t xml:space="preserve">but it did </w:t>
      </w:r>
      <w:r>
        <w:rPr>
          <w:lang w:val="en-US"/>
        </w:rPr>
        <w:t>bear</w:t>
      </w:r>
      <w:r w:rsidRPr="00891CC0">
        <w:t xml:space="preserve"> </w:t>
      </w:r>
      <w:r>
        <w:rPr>
          <w:lang w:val="en-NZ"/>
        </w:rPr>
        <w:t xml:space="preserve">a </w:t>
      </w:r>
      <w:r>
        <w:rPr>
          <w:lang w:val="en-US"/>
        </w:rPr>
        <w:t xml:space="preserve">few </w:t>
      </w:r>
      <w:r w:rsidRPr="00891CC0">
        <w:t xml:space="preserve">marks as a reward </w:t>
      </w:r>
      <w:r>
        <w:rPr>
          <w:lang w:val="en-US"/>
        </w:rPr>
        <w:t>so that students could be motivated to produce a qualitative and meaningful writing</w:t>
      </w:r>
      <w:r w:rsidRPr="00891CC0">
        <w:t xml:space="preserve">. </w:t>
      </w:r>
      <w:r>
        <w:rPr>
          <w:lang w:val="en-NZ"/>
        </w:rPr>
        <w:t xml:space="preserve">The writings were submitted electronically which were graded and feedback was provided to students. The feedback was provided using </w:t>
      </w:r>
      <w:r>
        <w:t xml:space="preserve">corrective </w:t>
      </w:r>
      <w:r>
        <w:t>marks and</w:t>
      </w:r>
      <w:r>
        <w:rPr>
          <w:lang w:val="en-NZ"/>
        </w:rPr>
        <w:t xml:space="preserve"> </w:t>
      </w:r>
      <w:r>
        <w:t xml:space="preserve">marginal notes. </w:t>
      </w:r>
      <w:r>
        <w:rPr>
          <w:lang w:val="en-NZ"/>
        </w:rPr>
        <w:t xml:space="preserve">The </w:t>
      </w:r>
      <w:r>
        <w:rPr>
          <w:lang w:val="en-US"/>
        </w:rPr>
        <w:t>former</w:t>
      </w:r>
      <w:r w:rsidRPr="008227D1">
        <w:t xml:space="preserve"> denote</w:t>
      </w:r>
      <w:r>
        <w:rPr>
          <w:lang w:val="en-NZ"/>
        </w:rPr>
        <w:t>d</w:t>
      </w:r>
      <w:r>
        <w:t xml:space="preserve"> simple phrase</w:t>
      </w:r>
      <w:r w:rsidRPr="008227D1">
        <w:t xml:space="preserve"> </w:t>
      </w:r>
      <w:r>
        <w:rPr>
          <w:lang w:val="en-US"/>
        </w:rPr>
        <w:t xml:space="preserve">or word level </w:t>
      </w:r>
      <w:r w:rsidRPr="008227D1">
        <w:t>errors</w:t>
      </w:r>
      <w:r>
        <w:rPr>
          <w:lang w:val="en-NZ"/>
        </w:rPr>
        <w:t xml:space="preserve"> and</w:t>
      </w:r>
      <w:r>
        <w:t xml:space="preserve"> </w:t>
      </w:r>
      <w:r>
        <w:rPr>
          <w:lang w:val="en-NZ"/>
        </w:rPr>
        <w:t xml:space="preserve">the </w:t>
      </w:r>
      <w:r>
        <w:rPr>
          <w:lang w:val="en-US"/>
        </w:rPr>
        <w:t>latter accentuated</w:t>
      </w:r>
      <w:r w:rsidRPr="008227D1">
        <w:t xml:space="preserve"> </w:t>
      </w:r>
      <w:r>
        <w:rPr>
          <w:lang w:val="en-NZ"/>
        </w:rPr>
        <w:t xml:space="preserve">the </w:t>
      </w:r>
      <w:r>
        <w:rPr>
          <w:lang w:val="en-US"/>
        </w:rPr>
        <w:t>peculiar</w:t>
      </w:r>
      <w:r w:rsidRPr="008227D1">
        <w:t xml:space="preserve"> </w:t>
      </w:r>
      <w:r>
        <w:rPr>
          <w:lang w:val="en-NZ"/>
        </w:rPr>
        <w:t>issues in the writing</w:t>
      </w:r>
      <w:r w:rsidRPr="008227D1">
        <w:t>.</w:t>
      </w:r>
    </w:p>
    <w:p w:rsidR="00C45355" w:rsidRPr="006B6B66" w:rsidRDefault="00C45355" w:rsidP="00C45355">
      <w:pPr>
        <w:pStyle w:val="Heading1"/>
        <w:ind w:firstLine="216"/>
      </w:pPr>
      <w:r>
        <w:t>Methodology</w:t>
      </w:r>
    </w:p>
    <w:p w:rsidR="00C45355" w:rsidRDefault="00C45355" w:rsidP="00C45355">
      <w:pPr>
        <w:pStyle w:val="Heading2"/>
        <w:numPr>
          <w:ilvl w:val="1"/>
          <w:numId w:val="25"/>
        </w:numPr>
      </w:pPr>
      <w:r>
        <w:t>Background</w:t>
      </w:r>
    </w:p>
    <w:p w:rsidR="00C45355" w:rsidRPr="00B269C4" w:rsidRDefault="00C45355" w:rsidP="00C45355">
      <w:pPr>
        <w:pStyle w:val="BodyText"/>
        <w:rPr>
          <w:color w:val="000000"/>
          <w:lang w:val="en-NZ"/>
        </w:rPr>
      </w:pPr>
      <w:r w:rsidRPr="00B269C4">
        <w:rPr>
          <w:color w:val="000000"/>
        </w:rPr>
        <w:t xml:space="preserve">The </w:t>
      </w:r>
      <w:r>
        <w:rPr>
          <w:color w:val="000000"/>
          <w:lang w:val="en-US"/>
        </w:rPr>
        <w:t>object</w:t>
      </w:r>
      <w:r w:rsidRPr="00B269C4">
        <w:rPr>
          <w:color w:val="000000"/>
        </w:rPr>
        <w:t xml:space="preserve"> of this study is to </w:t>
      </w:r>
      <w:r>
        <w:rPr>
          <w:color w:val="000000"/>
          <w:lang w:val="en-US"/>
        </w:rPr>
        <w:t>gain an insight into</w:t>
      </w:r>
      <w:r w:rsidRPr="00B269C4">
        <w:rPr>
          <w:color w:val="000000"/>
        </w:rPr>
        <w:t xml:space="preserve"> engineering</w:t>
      </w:r>
      <w:r w:rsidRPr="00B269C4">
        <w:rPr>
          <w:color w:val="000000"/>
          <w:lang w:val="en-NZ"/>
        </w:rPr>
        <w:t xml:space="preserve">’s writing style and their ability to adapt the </w:t>
      </w:r>
      <w:r>
        <w:rPr>
          <w:color w:val="000000"/>
          <w:lang w:val="en-NZ"/>
        </w:rPr>
        <w:t xml:space="preserve">level and </w:t>
      </w:r>
      <w:r w:rsidRPr="00B269C4">
        <w:rPr>
          <w:color w:val="000000"/>
          <w:lang w:val="en-NZ"/>
        </w:rPr>
        <w:t xml:space="preserve">tone of the writing according to the audience. </w:t>
      </w:r>
      <w:r>
        <w:rPr>
          <w:color w:val="000000"/>
          <w:lang w:val="en-NZ"/>
        </w:rPr>
        <w:t>A</w:t>
      </w:r>
      <w:r w:rsidRPr="00B269C4">
        <w:rPr>
          <w:color w:val="000000"/>
          <w:lang w:val="en-NZ"/>
        </w:rPr>
        <w:t xml:space="preserve"> </w:t>
      </w:r>
      <w:r>
        <w:rPr>
          <w:color w:val="000000"/>
          <w:lang w:val="en-NZ"/>
        </w:rPr>
        <w:t>rudimentary</w:t>
      </w:r>
      <w:r w:rsidRPr="00B269C4">
        <w:rPr>
          <w:color w:val="000000"/>
          <w:lang w:val="en-NZ"/>
        </w:rPr>
        <w:t xml:space="preserve"> assumption that has informed our thinking about engineering </w:t>
      </w:r>
      <w:r>
        <w:rPr>
          <w:color w:val="000000"/>
          <w:lang w:val="en-NZ"/>
        </w:rPr>
        <w:t>profession</w:t>
      </w:r>
      <w:r w:rsidRPr="00B269C4">
        <w:rPr>
          <w:color w:val="000000"/>
          <w:lang w:val="en-NZ"/>
        </w:rPr>
        <w:t xml:space="preserve"> is that writing is an </w:t>
      </w:r>
      <w:r w:rsidRPr="007038F8">
        <w:rPr>
          <w:color w:val="000000"/>
          <w:lang w:val="en-NZ"/>
        </w:rPr>
        <w:t>indispensable</w:t>
      </w:r>
      <w:r w:rsidRPr="00B269C4">
        <w:rPr>
          <w:color w:val="000000"/>
          <w:lang w:val="en-NZ"/>
        </w:rPr>
        <w:t xml:space="preserve"> </w:t>
      </w:r>
      <w:r>
        <w:rPr>
          <w:color w:val="000000"/>
          <w:lang w:val="en-NZ"/>
        </w:rPr>
        <w:t>part</w:t>
      </w:r>
      <w:r w:rsidRPr="00B269C4">
        <w:rPr>
          <w:color w:val="000000"/>
          <w:lang w:val="en-NZ"/>
        </w:rPr>
        <w:t xml:space="preserve"> throughout</w:t>
      </w:r>
      <w:r>
        <w:rPr>
          <w:color w:val="000000"/>
          <w:lang w:val="en-NZ"/>
        </w:rPr>
        <w:t xml:space="preserve"> the career of an engineer</w:t>
      </w:r>
      <w:r w:rsidRPr="00B269C4">
        <w:rPr>
          <w:color w:val="000000"/>
          <w:lang w:val="en-NZ"/>
        </w:rPr>
        <w:t>. This inquiry examined a third-year engineering course consisting of computer systems engineering students for two consecutive years</w:t>
      </w:r>
      <w:r>
        <w:rPr>
          <w:color w:val="000000"/>
          <w:lang w:val="en-NZ"/>
        </w:rPr>
        <w:t xml:space="preserve"> with a view</w:t>
      </w:r>
      <w:r w:rsidRPr="00B269C4">
        <w:rPr>
          <w:color w:val="000000"/>
        </w:rPr>
        <w:t xml:space="preserve"> to </w:t>
      </w:r>
      <w:r>
        <w:rPr>
          <w:color w:val="000000"/>
          <w:lang w:val="en-US"/>
        </w:rPr>
        <w:t xml:space="preserve">gauge </w:t>
      </w:r>
      <w:r w:rsidRPr="00B269C4">
        <w:rPr>
          <w:color w:val="000000"/>
        </w:rPr>
        <w:t xml:space="preserve">the </w:t>
      </w:r>
      <w:r>
        <w:rPr>
          <w:color w:val="000000"/>
          <w:lang w:val="en-NZ"/>
        </w:rPr>
        <w:t>students’ ability to write</w:t>
      </w:r>
      <w:r w:rsidRPr="00B269C4">
        <w:rPr>
          <w:color w:val="000000"/>
          <w:lang w:val="en-NZ"/>
        </w:rPr>
        <w:t xml:space="preserve"> for different audiences as well as fill in the gap in the understanding of</w:t>
      </w:r>
      <w:r w:rsidRPr="00B269C4">
        <w:rPr>
          <w:color w:val="000000"/>
        </w:rPr>
        <w:t xml:space="preserve"> the </w:t>
      </w:r>
      <w:r w:rsidRPr="00B269C4">
        <w:rPr>
          <w:color w:val="000000"/>
          <w:lang w:val="en-NZ"/>
        </w:rPr>
        <w:t>Digital System Design</w:t>
      </w:r>
      <w:r w:rsidRPr="00B269C4">
        <w:rPr>
          <w:color w:val="000000"/>
        </w:rPr>
        <w:t xml:space="preserve"> course</w:t>
      </w:r>
      <w:r w:rsidRPr="00B269C4">
        <w:rPr>
          <w:color w:val="000000"/>
          <w:lang w:val="en-NZ"/>
        </w:rPr>
        <w:t>. It</w:t>
      </w:r>
      <w:r w:rsidRPr="00B269C4">
        <w:rPr>
          <w:color w:val="000000"/>
          <w:lang w:val="en-US"/>
        </w:rPr>
        <w:t xml:space="preserve"> is a 15-point medium/advanced </w:t>
      </w:r>
      <w:r>
        <w:rPr>
          <w:color w:val="000000"/>
          <w:lang w:val="en-US"/>
        </w:rPr>
        <w:t xml:space="preserve">level </w:t>
      </w:r>
      <w:r w:rsidRPr="00B269C4">
        <w:rPr>
          <w:color w:val="000000"/>
          <w:lang w:val="en-US"/>
        </w:rPr>
        <w:t xml:space="preserve">course intended at </w:t>
      </w:r>
      <w:r>
        <w:rPr>
          <w:color w:val="000000"/>
          <w:lang w:val="en-US"/>
        </w:rPr>
        <w:t>third-year</w:t>
      </w:r>
      <w:r w:rsidRPr="00B269C4">
        <w:rPr>
          <w:color w:val="000000"/>
          <w:lang w:val="en-US"/>
        </w:rPr>
        <w:t xml:space="preserve"> students of a </w:t>
      </w:r>
      <w:r>
        <w:rPr>
          <w:color w:val="000000"/>
          <w:lang w:val="en-US"/>
        </w:rPr>
        <w:t>4</w:t>
      </w:r>
      <w:r w:rsidRPr="00B269C4">
        <w:rPr>
          <w:color w:val="000000"/>
          <w:lang w:val="en-US"/>
        </w:rPr>
        <w:t>-year</w:t>
      </w:r>
      <w:r>
        <w:rPr>
          <w:color w:val="000000"/>
          <w:lang w:val="en-US"/>
        </w:rPr>
        <w:t>s</w:t>
      </w:r>
      <w:r w:rsidRPr="00B269C4">
        <w:rPr>
          <w:color w:val="000000"/>
          <w:lang w:val="en-US"/>
        </w:rPr>
        <w:t xml:space="preserve"> undergradua</w:t>
      </w:r>
      <w:r>
        <w:rPr>
          <w:color w:val="000000"/>
          <w:lang w:val="en-US"/>
        </w:rPr>
        <w:t>te program offered at the Department of Electrical,</w:t>
      </w:r>
      <w:r w:rsidRPr="00B269C4">
        <w:rPr>
          <w:color w:val="000000"/>
          <w:lang w:val="en-US"/>
        </w:rPr>
        <w:t xml:space="preserve"> Computer</w:t>
      </w:r>
      <w:r>
        <w:rPr>
          <w:color w:val="000000"/>
          <w:lang w:val="en-US"/>
        </w:rPr>
        <w:t>, and Software</w:t>
      </w:r>
      <w:r w:rsidRPr="00B269C4">
        <w:rPr>
          <w:color w:val="000000"/>
          <w:lang w:val="en-US"/>
        </w:rPr>
        <w:t xml:space="preserve"> Engineering</w:t>
      </w:r>
      <w:r>
        <w:rPr>
          <w:color w:val="000000"/>
          <w:lang w:val="en-US"/>
        </w:rPr>
        <w:t xml:space="preserve"> (ECSE)</w:t>
      </w:r>
      <w:r w:rsidRPr="00B269C4">
        <w:rPr>
          <w:color w:val="000000"/>
          <w:lang w:val="en-US"/>
        </w:rPr>
        <w:t xml:space="preserve">. It </w:t>
      </w:r>
      <w:r>
        <w:rPr>
          <w:color w:val="000000"/>
          <w:lang w:val="en-US"/>
        </w:rPr>
        <w:t>is founded on</w:t>
      </w:r>
      <w:r w:rsidRPr="00B269C4">
        <w:rPr>
          <w:color w:val="000000"/>
          <w:lang w:val="en-US"/>
        </w:rPr>
        <w:t xml:space="preserve"> the </w:t>
      </w:r>
      <w:r>
        <w:rPr>
          <w:color w:val="000000"/>
          <w:lang w:val="en-US"/>
        </w:rPr>
        <w:t xml:space="preserve">skills and </w:t>
      </w:r>
      <w:r w:rsidRPr="00B269C4">
        <w:rPr>
          <w:color w:val="000000"/>
          <w:lang w:val="en-US"/>
        </w:rPr>
        <w:t xml:space="preserve">knowledge </w:t>
      </w:r>
      <w:r>
        <w:rPr>
          <w:color w:val="000000"/>
          <w:lang w:val="en-US"/>
        </w:rPr>
        <w:t>gained</w:t>
      </w:r>
      <w:r w:rsidRPr="00B269C4">
        <w:rPr>
          <w:color w:val="000000"/>
          <w:lang w:val="en-US"/>
        </w:rPr>
        <w:t xml:space="preserve"> in a prerequisite of this course</w:t>
      </w:r>
      <w:r>
        <w:rPr>
          <w:color w:val="000000"/>
          <w:lang w:val="en-US"/>
        </w:rPr>
        <w:t xml:space="preserve">, </w:t>
      </w:r>
      <w:r w:rsidRPr="00B269C4">
        <w:rPr>
          <w:color w:val="000000"/>
          <w:lang w:val="en-US"/>
        </w:rPr>
        <w:t>Fundamentals of Computer Engineering</w:t>
      </w:r>
      <w:r>
        <w:rPr>
          <w:color w:val="000000"/>
          <w:lang w:val="en-US"/>
        </w:rPr>
        <w:t>,</w:t>
      </w:r>
      <w:r w:rsidRPr="00B269C4">
        <w:rPr>
          <w:color w:val="000000"/>
          <w:lang w:val="en-US"/>
        </w:rPr>
        <w:t xml:space="preserve"> taught in the second</w:t>
      </w:r>
      <w:r>
        <w:rPr>
          <w:color w:val="000000"/>
          <w:lang w:val="en-US"/>
        </w:rPr>
        <w:t xml:space="preserve"> </w:t>
      </w:r>
      <w:r w:rsidRPr="00B269C4">
        <w:rPr>
          <w:color w:val="000000"/>
          <w:lang w:val="en-US"/>
        </w:rPr>
        <w:t xml:space="preserve">year. The objective of this course is to </w:t>
      </w:r>
      <w:r>
        <w:rPr>
          <w:color w:val="000000"/>
          <w:lang w:val="en-US"/>
        </w:rPr>
        <w:t xml:space="preserve">familiarize </w:t>
      </w:r>
      <w:r w:rsidRPr="00B269C4">
        <w:rPr>
          <w:color w:val="000000"/>
          <w:lang w:val="en-US"/>
        </w:rPr>
        <w:t xml:space="preserve">the students </w:t>
      </w:r>
      <w:r>
        <w:rPr>
          <w:color w:val="000000"/>
          <w:lang w:val="en-US"/>
        </w:rPr>
        <w:t xml:space="preserve">with </w:t>
      </w:r>
      <w:r w:rsidRPr="00B269C4">
        <w:rPr>
          <w:color w:val="000000"/>
          <w:lang w:val="en-US"/>
        </w:rPr>
        <w:t xml:space="preserve">the theoretical </w:t>
      </w:r>
      <w:r>
        <w:rPr>
          <w:color w:val="000000"/>
          <w:lang w:val="en-US"/>
        </w:rPr>
        <w:t>expertise</w:t>
      </w:r>
      <w:r w:rsidRPr="00B269C4">
        <w:rPr>
          <w:color w:val="000000"/>
          <w:lang w:val="en-US"/>
        </w:rPr>
        <w:t xml:space="preserve"> and </w:t>
      </w:r>
      <w:r>
        <w:rPr>
          <w:color w:val="000000"/>
          <w:lang w:val="en-US"/>
        </w:rPr>
        <w:t>hands-on practice</w:t>
      </w:r>
      <w:r w:rsidRPr="00B269C4">
        <w:rPr>
          <w:color w:val="000000"/>
          <w:lang w:val="en-US"/>
        </w:rPr>
        <w:t xml:space="preserve"> in the design of </w:t>
      </w:r>
      <w:r>
        <w:rPr>
          <w:color w:val="000000"/>
          <w:lang w:val="en-US"/>
        </w:rPr>
        <w:t xml:space="preserve">small to </w:t>
      </w:r>
      <w:r w:rsidRPr="00B269C4">
        <w:rPr>
          <w:color w:val="000000"/>
          <w:lang w:val="en-US"/>
        </w:rPr>
        <w:t>medium size mod</w:t>
      </w:r>
      <w:r>
        <w:rPr>
          <w:color w:val="000000"/>
          <w:lang w:val="en-US"/>
        </w:rPr>
        <w:t>ern digital systems using FPGAs (Field Programmable Gate Arrays).</w:t>
      </w:r>
    </w:p>
    <w:p w:rsidR="00C45355" w:rsidRPr="005B520E" w:rsidRDefault="00C45355" w:rsidP="00C45355">
      <w:pPr>
        <w:pStyle w:val="Heading2"/>
        <w:tabs>
          <w:tab w:val="clear" w:pos="288"/>
          <w:tab w:val="num" w:pos="360"/>
        </w:tabs>
      </w:pPr>
      <w:r>
        <w:t>Sample</w:t>
      </w:r>
    </w:p>
    <w:p w:rsidR="00C45355" w:rsidRDefault="00C45355" w:rsidP="00C45355">
      <w:pPr>
        <w:pStyle w:val="BodyText"/>
        <w:rPr>
          <w:lang w:val="en-NZ"/>
        </w:rPr>
      </w:pPr>
      <w:r w:rsidRPr="00744CEE">
        <w:rPr>
          <w:lang w:val="en-NZ"/>
        </w:rPr>
        <w:t>The main data of this s</w:t>
      </w:r>
      <w:r>
        <w:rPr>
          <w:lang w:val="en-NZ"/>
        </w:rPr>
        <w:t>tudy consisted of a total of ~ 79</w:t>
      </w:r>
      <w:r w:rsidRPr="00744CEE">
        <w:rPr>
          <w:lang w:val="en-NZ"/>
        </w:rPr>
        <w:t xml:space="preserve"> short pieces of freewriting samples</w:t>
      </w:r>
      <w:r>
        <w:rPr>
          <w:lang w:val="en-NZ"/>
        </w:rPr>
        <w:t xml:space="preserve"> </w:t>
      </w:r>
      <w:r w:rsidRPr="00744CEE">
        <w:rPr>
          <w:lang w:val="en-NZ"/>
        </w:rPr>
        <w:t xml:space="preserve">composed by </w:t>
      </w:r>
      <w:r>
        <w:rPr>
          <w:lang w:val="en-NZ"/>
        </w:rPr>
        <w:t xml:space="preserve">the </w:t>
      </w:r>
      <w:r w:rsidRPr="00744CEE">
        <w:rPr>
          <w:lang w:val="en-NZ"/>
        </w:rPr>
        <w:t xml:space="preserve">participants in response to </w:t>
      </w:r>
      <w:r>
        <w:rPr>
          <w:lang w:val="en-NZ"/>
        </w:rPr>
        <w:t>the aforementioned activity</w:t>
      </w:r>
      <w:r w:rsidRPr="00744CEE">
        <w:rPr>
          <w:lang w:val="en-NZ"/>
        </w:rPr>
        <w:t>.</w:t>
      </w:r>
      <w:r>
        <w:rPr>
          <w:lang w:val="en-NZ"/>
        </w:rPr>
        <w:t xml:space="preserve"> The participants were </w:t>
      </w:r>
      <w:r w:rsidRPr="00891CC0">
        <w:t xml:space="preserve">undergraduate students from a </w:t>
      </w:r>
      <w:r>
        <w:rPr>
          <w:lang w:val="en-NZ"/>
        </w:rPr>
        <w:t>large</w:t>
      </w:r>
      <w:r w:rsidRPr="00891CC0">
        <w:t xml:space="preserve"> </w:t>
      </w:r>
      <w:r>
        <w:rPr>
          <w:lang w:val="en-NZ"/>
        </w:rPr>
        <w:t>metropolitan university in Auckland</w:t>
      </w:r>
      <w:r w:rsidRPr="00891CC0">
        <w:t xml:space="preserve"> </w:t>
      </w:r>
      <w:r>
        <w:rPr>
          <w:lang w:val="en-US"/>
        </w:rPr>
        <w:t>took part</w:t>
      </w:r>
      <w:r>
        <w:t xml:space="preserve"> in th</w:t>
      </w:r>
      <w:r>
        <w:rPr>
          <w:lang w:val="en-US"/>
        </w:rPr>
        <w:t>is</w:t>
      </w:r>
      <w:r>
        <w:t xml:space="preserve"> study (</w:t>
      </w:r>
      <w:r>
        <w:rPr>
          <w:lang w:val="en-US"/>
        </w:rPr>
        <w:t>8</w:t>
      </w:r>
      <w:r>
        <w:t xml:space="preserve"> females; </w:t>
      </w:r>
      <w:r>
        <w:rPr>
          <w:lang w:val="en-US"/>
        </w:rPr>
        <w:t>71</w:t>
      </w:r>
      <w:r w:rsidRPr="00891CC0">
        <w:t xml:space="preserve"> males; </w:t>
      </w:r>
      <w:r>
        <w:rPr>
          <w:lang w:val="en-NZ"/>
        </w:rPr>
        <w:t xml:space="preserve">average </w:t>
      </w:r>
      <w:r>
        <w:t>age 21 years). All participa</w:t>
      </w:r>
      <w:r>
        <w:rPr>
          <w:lang w:val="en-US"/>
        </w:rPr>
        <w:t>ting students</w:t>
      </w:r>
      <w:r w:rsidRPr="00891CC0">
        <w:t xml:space="preserve"> were </w:t>
      </w:r>
      <w:r>
        <w:rPr>
          <w:lang w:val="en-US"/>
        </w:rPr>
        <w:t>registered</w:t>
      </w:r>
      <w:r>
        <w:t xml:space="preserve"> in </w:t>
      </w:r>
      <w:r>
        <w:rPr>
          <w:lang w:val="en-NZ"/>
        </w:rPr>
        <w:t xml:space="preserve"> </w:t>
      </w:r>
      <w:r>
        <w:t>Digital System Design</w:t>
      </w:r>
      <w:r w:rsidRPr="00891CC0">
        <w:t xml:space="preserve"> course and </w:t>
      </w:r>
      <w:r>
        <w:rPr>
          <w:lang w:val="en-US"/>
        </w:rPr>
        <w:t>obtained</w:t>
      </w:r>
      <w:r w:rsidRPr="00891CC0">
        <w:t xml:space="preserve"> no course credit for participating in the experiment. </w:t>
      </w:r>
      <w:r>
        <w:rPr>
          <w:lang w:val="en-NZ"/>
        </w:rPr>
        <w:t>The size</w:t>
      </w:r>
      <w:r w:rsidRPr="00744CEE">
        <w:rPr>
          <w:lang w:val="en-NZ"/>
        </w:rPr>
        <w:t xml:space="preserve"> of these writing </w:t>
      </w:r>
      <w:r>
        <w:rPr>
          <w:lang w:val="en-NZ"/>
        </w:rPr>
        <w:t>illustration</w:t>
      </w:r>
      <w:r w:rsidRPr="00744CEE">
        <w:rPr>
          <w:lang w:val="en-NZ"/>
        </w:rPr>
        <w:t xml:space="preserve"> ranged between 130</w:t>
      </w:r>
      <w:r>
        <w:rPr>
          <w:lang w:val="en-NZ"/>
        </w:rPr>
        <w:t xml:space="preserve"> </w:t>
      </w:r>
      <w:r w:rsidRPr="00744CEE">
        <w:rPr>
          <w:lang w:val="en-NZ"/>
        </w:rPr>
        <w:t xml:space="preserve">and 350 words. </w:t>
      </w:r>
    </w:p>
    <w:p w:rsidR="00C45355" w:rsidRPr="001C3656" w:rsidRDefault="00C45355" w:rsidP="00C45355">
      <w:pPr>
        <w:pStyle w:val="Heading2"/>
        <w:tabs>
          <w:tab w:val="clear" w:pos="288"/>
          <w:tab w:val="num" w:pos="360"/>
        </w:tabs>
      </w:pPr>
      <w:r w:rsidRPr="001C3656">
        <w:t>Evaluation</w:t>
      </w:r>
    </w:p>
    <w:p w:rsidR="00C45355" w:rsidRPr="009968E8" w:rsidRDefault="00C45355" w:rsidP="00C45355">
      <w:pPr>
        <w:pStyle w:val="BodyText"/>
        <w:rPr>
          <w:lang w:val="en-NZ"/>
        </w:rPr>
      </w:pPr>
      <w:r>
        <w:rPr>
          <w:lang w:val="en-NZ"/>
        </w:rPr>
        <w:t>Professional and t</w:t>
      </w:r>
      <w:r w:rsidRPr="009968E8">
        <w:rPr>
          <w:lang w:val="en-NZ"/>
        </w:rPr>
        <w:t xml:space="preserve">echnical </w:t>
      </w:r>
      <w:r>
        <w:rPr>
          <w:lang w:val="en-NZ"/>
        </w:rPr>
        <w:t>writings</w:t>
      </w:r>
      <w:r w:rsidRPr="009968E8">
        <w:rPr>
          <w:lang w:val="en-NZ"/>
        </w:rPr>
        <w:t xml:space="preserve"> </w:t>
      </w:r>
      <w:r>
        <w:rPr>
          <w:lang w:val="en-NZ"/>
        </w:rPr>
        <w:t>appearing</w:t>
      </w:r>
      <w:r w:rsidRPr="009968E8">
        <w:rPr>
          <w:lang w:val="en-NZ"/>
        </w:rPr>
        <w:t xml:space="preserve"> in scholarly </w:t>
      </w:r>
      <w:r>
        <w:rPr>
          <w:lang w:val="en-NZ"/>
        </w:rPr>
        <w:t>articles</w:t>
      </w:r>
      <w:r w:rsidRPr="009968E8">
        <w:rPr>
          <w:lang w:val="en-NZ"/>
        </w:rPr>
        <w:t xml:space="preserve"> </w:t>
      </w:r>
      <w:r>
        <w:rPr>
          <w:lang w:val="en-NZ"/>
        </w:rPr>
        <w:t>mostly have a readability</w:t>
      </w:r>
      <w:r w:rsidRPr="009968E8">
        <w:rPr>
          <w:lang w:val="en-NZ"/>
        </w:rPr>
        <w:t xml:space="preserve"> score above </w:t>
      </w:r>
      <w:r>
        <w:rPr>
          <w:lang w:val="en-NZ"/>
        </w:rPr>
        <w:t>twelve</w:t>
      </w:r>
      <w:r w:rsidRPr="009968E8">
        <w:rPr>
          <w:lang w:val="en-NZ"/>
        </w:rPr>
        <w:t xml:space="preserve">. Accordingly, texts </w:t>
      </w:r>
      <w:r>
        <w:rPr>
          <w:lang w:val="en-NZ"/>
        </w:rPr>
        <w:t xml:space="preserve">targeting </w:t>
      </w:r>
      <w:r w:rsidRPr="009968E8">
        <w:rPr>
          <w:lang w:val="en-NZ"/>
        </w:rPr>
        <w:t xml:space="preserve">a wide adult audience should </w:t>
      </w:r>
      <w:r>
        <w:rPr>
          <w:lang w:val="en-NZ"/>
        </w:rPr>
        <w:t>have a score</w:t>
      </w:r>
      <w:r w:rsidRPr="009968E8">
        <w:rPr>
          <w:lang w:val="en-NZ"/>
        </w:rPr>
        <w:t xml:space="preserve"> between 8 and 12. Advertising </w:t>
      </w:r>
      <w:r>
        <w:rPr>
          <w:lang w:val="en-NZ"/>
        </w:rPr>
        <w:t>material</w:t>
      </w:r>
      <w:r w:rsidRPr="009968E8">
        <w:rPr>
          <w:lang w:val="en-NZ"/>
        </w:rPr>
        <w:t xml:space="preserve"> </w:t>
      </w:r>
      <w:r>
        <w:rPr>
          <w:lang w:val="en-NZ"/>
        </w:rPr>
        <w:t xml:space="preserve">score </w:t>
      </w:r>
      <w:r w:rsidRPr="009968E8">
        <w:rPr>
          <w:lang w:val="en-NZ"/>
        </w:rPr>
        <w:t>ranges</w:t>
      </w:r>
      <w:r>
        <w:rPr>
          <w:lang w:val="en-NZ"/>
        </w:rPr>
        <w:t xml:space="preserve"> </w:t>
      </w:r>
      <w:r w:rsidRPr="009968E8">
        <w:rPr>
          <w:lang w:val="en-NZ"/>
        </w:rPr>
        <w:t xml:space="preserve">from a 5th to 8th grade level </w:t>
      </w:r>
      <w:r>
        <w:rPr>
          <w:lang w:val="en-NZ"/>
        </w:rPr>
        <w:t>subject to</w:t>
      </w:r>
      <w:r w:rsidRPr="009968E8">
        <w:rPr>
          <w:lang w:val="en-NZ"/>
        </w:rPr>
        <w:t xml:space="preserve"> the market.</w:t>
      </w:r>
      <w:r>
        <w:rPr>
          <w:lang w:val="en-NZ"/>
        </w:rPr>
        <w:t xml:space="preserve"> Writing is </w:t>
      </w:r>
      <w:proofErr w:type="spellStart"/>
      <w:r w:rsidRPr="009968E8">
        <w:rPr>
          <w:lang w:val="en-NZ"/>
        </w:rPr>
        <w:t>analyzed</w:t>
      </w:r>
      <w:proofErr w:type="spellEnd"/>
      <w:r w:rsidRPr="009968E8">
        <w:rPr>
          <w:lang w:val="en-NZ"/>
        </w:rPr>
        <w:t xml:space="preserve"> using </w:t>
      </w:r>
      <w:r>
        <w:rPr>
          <w:lang w:val="en-NZ"/>
        </w:rPr>
        <w:t xml:space="preserve">a </w:t>
      </w:r>
      <w:r w:rsidRPr="009968E8">
        <w:rPr>
          <w:lang w:val="en-NZ"/>
        </w:rPr>
        <w:t>freely available online text conten</w:t>
      </w:r>
      <w:r>
        <w:rPr>
          <w:lang w:val="en-NZ"/>
        </w:rPr>
        <w:t>t and readability analyser tool</w:t>
      </w:r>
      <w:r w:rsidRPr="009968E8">
        <w:rPr>
          <w:lang w:val="en-NZ"/>
        </w:rPr>
        <w:t xml:space="preserve"> called </w:t>
      </w:r>
      <w:proofErr w:type="spellStart"/>
      <w:r>
        <w:rPr>
          <w:i/>
          <w:iCs/>
          <w:lang w:val="en-NZ"/>
        </w:rPr>
        <w:t>Analyze</w:t>
      </w:r>
      <w:proofErr w:type="spellEnd"/>
      <w:r>
        <w:rPr>
          <w:i/>
          <w:iCs/>
          <w:lang w:val="en-NZ"/>
        </w:rPr>
        <w:t xml:space="preserve"> M</w:t>
      </w:r>
      <w:r w:rsidRPr="008816C3">
        <w:rPr>
          <w:i/>
          <w:iCs/>
          <w:lang w:val="en-NZ"/>
        </w:rPr>
        <w:t>y Writing</w:t>
      </w:r>
      <w:r>
        <w:rPr>
          <w:iCs/>
          <w:lang w:val="en-NZ"/>
        </w:rPr>
        <w:t xml:space="preserve"> [18]</w:t>
      </w:r>
      <w:r w:rsidRPr="009968E8">
        <w:rPr>
          <w:lang w:val="en-NZ"/>
        </w:rPr>
        <w:t xml:space="preserve">.  The output of the tools is readability index </w:t>
      </w:r>
      <w:r>
        <w:rPr>
          <w:lang w:val="en-NZ"/>
        </w:rPr>
        <w:t xml:space="preserve">as explained earlier. The tone of the writings was analysed by using freely available tool called </w:t>
      </w:r>
      <w:r w:rsidRPr="00970E09">
        <w:rPr>
          <w:i/>
          <w:lang w:val="en-NZ"/>
        </w:rPr>
        <w:t xml:space="preserve">Tone </w:t>
      </w:r>
      <w:proofErr w:type="spellStart"/>
      <w:r w:rsidRPr="00970E09">
        <w:rPr>
          <w:i/>
          <w:lang w:val="en-NZ"/>
        </w:rPr>
        <w:t>Analyzer</w:t>
      </w:r>
      <w:proofErr w:type="spellEnd"/>
      <w:r>
        <w:rPr>
          <w:lang w:val="en-NZ"/>
        </w:rPr>
        <w:t xml:space="preserve"> which is capable of analysing 7 different tone as mentioned earlier [19].</w:t>
      </w:r>
    </w:p>
    <w:p w:rsidR="00C45355" w:rsidRPr="001C3656" w:rsidRDefault="00C45355" w:rsidP="00C45355">
      <w:pPr>
        <w:pStyle w:val="Heading2"/>
        <w:tabs>
          <w:tab w:val="clear" w:pos="288"/>
          <w:tab w:val="num" w:pos="360"/>
        </w:tabs>
      </w:pPr>
      <w:r w:rsidRPr="001C3656">
        <w:t>Measure</w:t>
      </w:r>
    </w:p>
    <w:p w:rsidR="00C45355" w:rsidRDefault="00C45355" w:rsidP="00C45355">
      <w:pPr>
        <w:pStyle w:val="BodyText"/>
        <w:rPr>
          <w:lang w:val="en-NZ"/>
        </w:rPr>
      </w:pPr>
      <w:r>
        <w:rPr>
          <w:lang w:val="en-NZ"/>
        </w:rPr>
        <w:t>This</w:t>
      </w:r>
      <w:r w:rsidRPr="001C3656">
        <w:rPr>
          <w:lang w:val="en-NZ"/>
        </w:rPr>
        <w:t xml:space="preserve"> intervention study </w:t>
      </w:r>
      <w:r>
        <w:rPr>
          <w:lang w:val="en-NZ"/>
        </w:rPr>
        <w:t>was approved by</w:t>
      </w:r>
      <w:r w:rsidRPr="001C3656">
        <w:rPr>
          <w:lang w:val="en-NZ"/>
        </w:rPr>
        <w:t xml:space="preserve"> the Human Participants Ethics Committee</w:t>
      </w:r>
      <w:r>
        <w:rPr>
          <w:lang w:val="en-NZ"/>
        </w:rPr>
        <w:t xml:space="preserve"> at The University of Auckland (Reference No.: 018848</w:t>
      </w:r>
      <w:r w:rsidRPr="001C3656">
        <w:rPr>
          <w:lang w:val="en-NZ"/>
        </w:rPr>
        <w:t xml:space="preserve">). </w:t>
      </w:r>
      <w:r>
        <w:rPr>
          <w:lang w:val="en-NZ"/>
        </w:rPr>
        <w:t xml:space="preserve">The lecturers who are also </w:t>
      </w:r>
      <w:r w:rsidRPr="001C3656">
        <w:rPr>
          <w:lang w:val="en-NZ"/>
        </w:rPr>
        <w:t xml:space="preserve">the principal investigators </w:t>
      </w:r>
      <w:r>
        <w:rPr>
          <w:lang w:val="en-NZ"/>
        </w:rPr>
        <w:t>of this study briefed the</w:t>
      </w:r>
      <w:r w:rsidRPr="001C3656">
        <w:rPr>
          <w:lang w:val="en-NZ"/>
        </w:rPr>
        <w:t xml:space="preserve"> students about the writing exercises and </w:t>
      </w:r>
      <w:r>
        <w:rPr>
          <w:lang w:val="en-NZ"/>
        </w:rPr>
        <w:t>responded to the</w:t>
      </w:r>
      <w:r w:rsidRPr="001C3656">
        <w:rPr>
          <w:lang w:val="en-NZ"/>
        </w:rPr>
        <w:t xml:space="preserve"> concerns</w:t>
      </w:r>
      <w:r>
        <w:rPr>
          <w:lang w:val="en-NZ"/>
        </w:rPr>
        <w:t xml:space="preserve"> raised by the students during a lecture before the launch of activities</w:t>
      </w:r>
      <w:r w:rsidRPr="001C3656">
        <w:rPr>
          <w:lang w:val="en-NZ"/>
        </w:rPr>
        <w:t xml:space="preserve">. </w:t>
      </w:r>
    </w:p>
    <w:p w:rsidR="00C45355" w:rsidRDefault="00C45355" w:rsidP="00C45355">
      <w:pPr>
        <w:pStyle w:val="Heading1"/>
        <w:ind w:firstLine="216"/>
      </w:pPr>
      <w:r>
        <w:t>Results and Discussion</w:t>
      </w:r>
    </w:p>
    <w:p w:rsidR="00C45355" w:rsidRDefault="00C45355" w:rsidP="00C45355">
      <w:pPr>
        <w:pStyle w:val="BodyText"/>
      </w:pPr>
      <w:r>
        <w:t xml:space="preserve">We </w:t>
      </w:r>
      <w:proofErr w:type="spellStart"/>
      <w:r>
        <w:t>analyzed</w:t>
      </w:r>
      <w:proofErr w:type="spellEnd"/>
      <w:r>
        <w:t xml:space="preserve"> all the writings using freely available tool, </w:t>
      </w:r>
      <w:proofErr w:type="spellStart"/>
      <w:r>
        <w:t>Analyze</w:t>
      </w:r>
      <w:proofErr w:type="spellEnd"/>
      <w:r>
        <w:t xml:space="preserve"> my Writing. The score of r</w:t>
      </w:r>
      <w:r w:rsidRPr="006B3818">
        <w:t xml:space="preserve">eadability </w:t>
      </w:r>
      <w:r>
        <w:t>test</w:t>
      </w:r>
      <w:r w:rsidRPr="006B3818">
        <w:t xml:space="preserve"> </w:t>
      </w:r>
      <w:r>
        <w:t>indicates</w:t>
      </w:r>
      <w:r w:rsidRPr="006B3818">
        <w:t xml:space="preserve"> the grade level </w:t>
      </w:r>
      <w:r>
        <w:t>required</w:t>
      </w:r>
      <w:r w:rsidRPr="006B3818">
        <w:t xml:space="preserve"> to </w:t>
      </w:r>
      <w:r>
        <w:t>understand</w:t>
      </w:r>
      <w:r w:rsidRPr="006B3818">
        <w:t xml:space="preserve"> a </w:t>
      </w:r>
      <w:r>
        <w:t>section of a written work</w:t>
      </w:r>
      <w:r w:rsidRPr="006B3818">
        <w:t xml:space="preserve">. </w:t>
      </w:r>
      <w:r w:rsidR="00867055">
        <w:rPr>
          <w:noProof/>
          <w:lang w:val="en-NZ" w:eastAsia="en-NZ"/>
        </w:rPr>
        <w:lastRenderedPageBreak/>
        <mc:AlternateContent>
          <mc:Choice Requires="wps">
            <w:drawing>
              <wp:anchor distT="45720" distB="45720" distL="114300" distR="114300" simplePos="0" relativeHeight="251672576" behindDoc="0" locked="0" layoutInCell="1" allowOverlap="0">
                <wp:simplePos x="0" y="0"/>
                <wp:positionH relativeFrom="column">
                  <wp:posOffset>3301653</wp:posOffset>
                </wp:positionH>
                <wp:positionV relativeFrom="page">
                  <wp:posOffset>715183</wp:posOffset>
                </wp:positionV>
                <wp:extent cx="3194050" cy="1929765"/>
                <wp:effectExtent l="0" t="3810" r="0" b="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1929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7055" w:rsidRDefault="00867055" w:rsidP="00867055">
                            <w:r w:rsidRPr="00612FF7">
                              <w:rPr>
                                <w:noProof/>
                                <w:lang w:val="en-NZ" w:eastAsia="en-NZ"/>
                              </w:rPr>
                              <w:drawing>
                                <wp:inline distT="0" distB="0" distL="0" distR="0">
                                  <wp:extent cx="3010535" cy="1656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0535" cy="1656715"/>
                                          </a:xfrm>
                                          <a:prstGeom prst="rect">
                                            <a:avLst/>
                                          </a:prstGeom>
                                          <a:noFill/>
                                          <a:ln>
                                            <a:noFill/>
                                          </a:ln>
                                        </pic:spPr>
                                      </pic:pic>
                                    </a:graphicData>
                                  </a:graphic>
                                </wp:inline>
                              </w:drawing>
                            </w:r>
                          </w:p>
                          <w:p w:rsidR="00867055" w:rsidRPr="00E51166" w:rsidRDefault="00952B9A" w:rsidP="00867055">
                            <w:pPr>
                              <w:jc w:val="left"/>
                              <w:rPr>
                                <w:sz w:val="16"/>
                                <w:szCs w:val="16"/>
                              </w:rPr>
                            </w:pPr>
                            <w:r>
                              <w:rPr>
                                <w:sz w:val="16"/>
                                <w:szCs w:val="16"/>
                              </w:rPr>
                              <w:t>Fig.</w:t>
                            </w:r>
                            <w:r w:rsidR="001F51B5">
                              <w:rPr>
                                <w:sz w:val="16"/>
                                <w:szCs w:val="16"/>
                              </w:rPr>
                              <w:t xml:space="preserve"> 4.</w:t>
                            </w:r>
                            <w:r w:rsidR="00867055" w:rsidRPr="00E51166">
                              <w:rPr>
                                <w:sz w:val="16"/>
                                <w:szCs w:val="16"/>
                              </w:rPr>
                              <w:t xml:space="preserve"> Readability levels of the writings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27" type="#_x0000_t202" style="position:absolute;left:0;text-align:left;margin-left:259.95pt;margin-top:56.3pt;width:251.5pt;height:151.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" o:allowoverlap="f" stroked="f">
                <v:textbox>
                  <w:txbxContent>
                    <w:p w:rsidR="00867055" w:rsidRDefault="00867055" w:rsidP="00867055">
                      <w:r w:rsidRPr="00612FF7">
                        <w:rPr>
                          <w:noProof/>
                          <w:lang w:val="en-NZ" w:eastAsia="en-NZ"/>
                        </w:rPr>
                        <w:drawing>
                          <wp:inline distT="0" distB="0" distL="0" distR="0">
                            <wp:extent cx="3010535" cy="1656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0535" cy="1656715"/>
                                    </a:xfrm>
                                    <a:prstGeom prst="rect">
                                      <a:avLst/>
                                    </a:prstGeom>
                                    <a:noFill/>
                                    <a:ln>
                                      <a:noFill/>
                                    </a:ln>
                                  </pic:spPr>
                                </pic:pic>
                              </a:graphicData>
                            </a:graphic>
                          </wp:inline>
                        </w:drawing>
                      </w:r>
                    </w:p>
                    <w:p w:rsidR="00867055" w:rsidRPr="00E51166" w:rsidRDefault="00952B9A" w:rsidP="00867055">
                      <w:pPr>
                        <w:jc w:val="left"/>
                        <w:rPr>
                          <w:sz w:val="16"/>
                          <w:szCs w:val="16"/>
                        </w:rPr>
                      </w:pPr>
                      <w:r>
                        <w:rPr>
                          <w:sz w:val="16"/>
                          <w:szCs w:val="16"/>
                        </w:rPr>
                        <w:t>Fig.</w:t>
                      </w:r>
                      <w:r w:rsidR="001F51B5">
                        <w:rPr>
                          <w:sz w:val="16"/>
                          <w:szCs w:val="16"/>
                        </w:rPr>
                        <w:t xml:space="preserve"> 4.</w:t>
                      </w:r>
                      <w:r w:rsidR="00867055" w:rsidRPr="00E51166">
                        <w:rPr>
                          <w:sz w:val="16"/>
                          <w:szCs w:val="16"/>
                        </w:rPr>
                        <w:t xml:space="preserve"> Readability levels of the writings</w:t>
                      </w:r>
                    </w:p>
                  </w:txbxContent>
                </v:textbox>
                <w10:wrap type="square" anchory="page"/>
              </v:shape>
            </w:pict>
          </mc:Fallback>
        </mc:AlternateContent>
      </w:r>
      <w:r>
        <w:t>The grade level of writing</w:t>
      </w:r>
      <w:r w:rsidRPr="006B3818">
        <w:t xml:space="preserve"> should accurately reflect the grade level of target</w:t>
      </w:r>
      <w:r>
        <w:t>ed</w:t>
      </w:r>
      <w:r w:rsidRPr="006B3818">
        <w:t xml:space="preserve"> </w:t>
      </w:r>
      <w:r>
        <w:t>reader</w:t>
      </w:r>
      <w:r w:rsidRPr="006B3818">
        <w:t>.</w:t>
      </w:r>
      <w:r>
        <w:t xml:space="preserve"> The score for 5 most widely used readability test is shown for individual writings in Figure 2. The score for five readability tests are: </w:t>
      </w:r>
      <w:r w:rsidRPr="00E83154">
        <w:rPr>
          <w:i/>
          <w:iCs/>
        </w:rPr>
        <w:t>Gunning Fog</w:t>
      </w:r>
      <w:r>
        <w:t xml:space="preserve"> (Max.=19.63, min.=7.29, mean=13.50, std. dev.=2.49) </w:t>
      </w:r>
      <w:r w:rsidRPr="00E83154">
        <w:rPr>
          <w:i/>
          <w:iCs/>
        </w:rPr>
        <w:t>Flesch-Kincaid</w:t>
      </w:r>
      <w:r>
        <w:t xml:space="preserve"> (max.=16.52, min.=5.33, mean=10.90, std. dev.=2.31), </w:t>
      </w:r>
      <w:r w:rsidRPr="00E83154">
        <w:rPr>
          <w:i/>
          <w:iCs/>
        </w:rPr>
        <w:t>SMOG</w:t>
      </w:r>
      <w:r>
        <w:t xml:space="preserve"> (max.=16.65, min.=7.49, mean=12.30, std. dev.=1.78), </w:t>
      </w:r>
      <w:r w:rsidRPr="00E83154">
        <w:rPr>
          <w:i/>
          <w:iCs/>
        </w:rPr>
        <w:t>Coleman-</w:t>
      </w:r>
      <w:proofErr w:type="spellStart"/>
      <w:r w:rsidRPr="00E83154">
        <w:rPr>
          <w:i/>
          <w:iCs/>
        </w:rPr>
        <w:t>Liau</w:t>
      </w:r>
      <w:proofErr w:type="spellEnd"/>
      <w:r>
        <w:t xml:space="preserve"> (max.=14.77, min=6.18, mean=10.72, Std. Dev.=1.82), and </w:t>
      </w:r>
      <w:r w:rsidRPr="00E83154">
        <w:rPr>
          <w:i/>
          <w:iCs/>
        </w:rPr>
        <w:t>Automated</w:t>
      </w:r>
      <w:r>
        <w:t xml:space="preserve"> (max.=18.60, </w:t>
      </w:r>
      <w:r w:rsidR="00867055">
        <w:rPr>
          <w:noProof/>
          <w:lang w:val="en-NZ" w:eastAsia="en-NZ"/>
        </w:rPr>
        <mc:AlternateContent>
          <mc:Choice Requires="wps">
            <w:drawing>
              <wp:anchor distT="45720" distB="45720" distL="114300" distR="114300" simplePos="0" relativeHeight="251666432" behindDoc="0" locked="0" layoutInCell="1" allowOverlap="1" wp14:anchorId="087A4D2E" wp14:editId="56EFA32B">
                <wp:simplePos x="0" y="0"/>
                <wp:positionH relativeFrom="column">
                  <wp:posOffset>-36195</wp:posOffset>
                </wp:positionH>
                <wp:positionV relativeFrom="paragraph">
                  <wp:posOffset>1439545</wp:posOffset>
                </wp:positionV>
                <wp:extent cx="3098800" cy="1994535"/>
                <wp:effectExtent l="0" t="0" r="6350" b="571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94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15CE" w:rsidRDefault="00D215CE" w:rsidP="00A65AC0">
                            <w:pPr>
                              <w:jc w:val="left"/>
                            </w:pPr>
                            <w:r w:rsidRPr="00AC468A">
                              <w:rPr>
                                <w:noProof/>
                                <w:lang w:val="en-NZ" w:eastAsia="en-NZ"/>
                              </w:rPr>
                              <w:drawing>
                                <wp:inline distT="0" distB="0" distL="0" distR="0" wp14:anchorId="3463C234" wp14:editId="721E0F71">
                                  <wp:extent cx="2906921" cy="17397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723" cy="1761162"/>
                                          </a:xfrm>
                                          <a:prstGeom prst="rect">
                                            <a:avLst/>
                                          </a:prstGeom>
                                          <a:noFill/>
                                          <a:ln>
                                            <a:noFill/>
                                          </a:ln>
                                        </pic:spPr>
                                      </pic:pic>
                                    </a:graphicData>
                                  </a:graphic>
                                </wp:inline>
                              </w:drawing>
                            </w:r>
                          </w:p>
                          <w:p w:rsidR="00D215CE" w:rsidRPr="00E51166" w:rsidRDefault="00952B9A" w:rsidP="00D215CE">
                            <w:pPr>
                              <w:jc w:val="left"/>
                              <w:rPr>
                                <w:sz w:val="16"/>
                                <w:szCs w:val="16"/>
                              </w:rPr>
                            </w:pPr>
                            <w:r>
                              <w:rPr>
                                <w:sz w:val="16"/>
                                <w:szCs w:val="16"/>
                              </w:rPr>
                              <w:t>Fig.</w:t>
                            </w:r>
                            <w:r w:rsidR="00D215CE" w:rsidRPr="00E51166">
                              <w:rPr>
                                <w:sz w:val="16"/>
                                <w:szCs w:val="16"/>
                              </w:rPr>
                              <w:t xml:space="preserve"> 2</w:t>
                            </w:r>
                            <w:r w:rsidR="001F51B5">
                              <w:rPr>
                                <w:sz w:val="16"/>
                                <w:szCs w:val="16"/>
                              </w:rPr>
                              <w:t>.</w:t>
                            </w:r>
                            <w:r w:rsidR="00D215CE" w:rsidRPr="00E51166">
                              <w:rPr>
                                <w:sz w:val="16"/>
                                <w:szCs w:val="16"/>
                              </w:rPr>
                              <w:t xml:space="preserve"> Individual reading levels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7A4D2E" id="Text Box 11" o:spid="_x0000_s1028" type="#_x0000_t202" style="position:absolute;left:0;text-align:left;margin-left:-2.85pt;margin-top:113.35pt;width:244pt;height:157.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78hwIAABk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" stroked="f">
                <v:textbox>
                  <w:txbxContent>
                    <w:p w:rsidR="00D215CE" w:rsidRDefault="00D215CE" w:rsidP="00A65AC0">
                      <w:pPr>
                        <w:jc w:val="left"/>
                      </w:pPr>
                      <w:r w:rsidRPr="00AC468A">
                        <w:rPr>
                          <w:noProof/>
                          <w:lang w:val="en-NZ" w:eastAsia="en-NZ"/>
                        </w:rPr>
                        <w:drawing>
                          <wp:inline distT="0" distB="0" distL="0" distR="0" wp14:anchorId="3463C234" wp14:editId="721E0F71">
                            <wp:extent cx="2906921" cy="17397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723" cy="1761162"/>
                                    </a:xfrm>
                                    <a:prstGeom prst="rect">
                                      <a:avLst/>
                                    </a:prstGeom>
                                    <a:noFill/>
                                    <a:ln>
                                      <a:noFill/>
                                    </a:ln>
                                  </pic:spPr>
                                </pic:pic>
                              </a:graphicData>
                            </a:graphic>
                          </wp:inline>
                        </w:drawing>
                      </w:r>
                    </w:p>
                    <w:p w:rsidR="00D215CE" w:rsidRPr="00E51166" w:rsidRDefault="00952B9A" w:rsidP="00D215CE">
                      <w:pPr>
                        <w:jc w:val="left"/>
                        <w:rPr>
                          <w:sz w:val="16"/>
                          <w:szCs w:val="16"/>
                        </w:rPr>
                      </w:pPr>
                      <w:r>
                        <w:rPr>
                          <w:sz w:val="16"/>
                          <w:szCs w:val="16"/>
                        </w:rPr>
                        <w:t>Fig.</w:t>
                      </w:r>
                      <w:r w:rsidR="00D215CE" w:rsidRPr="00E51166">
                        <w:rPr>
                          <w:sz w:val="16"/>
                          <w:szCs w:val="16"/>
                        </w:rPr>
                        <w:t xml:space="preserve"> 2</w:t>
                      </w:r>
                      <w:r w:rsidR="001F51B5">
                        <w:rPr>
                          <w:sz w:val="16"/>
                          <w:szCs w:val="16"/>
                        </w:rPr>
                        <w:t>.</w:t>
                      </w:r>
                      <w:r w:rsidR="00D215CE" w:rsidRPr="00E51166">
                        <w:rPr>
                          <w:sz w:val="16"/>
                          <w:szCs w:val="16"/>
                        </w:rPr>
                        <w:t xml:space="preserve"> Individual reading levels </w:t>
                      </w:r>
                    </w:p>
                  </w:txbxContent>
                </v:textbox>
                <w10:wrap type="square"/>
              </v:shape>
            </w:pict>
          </mc:Fallback>
        </mc:AlternateContent>
      </w:r>
      <w:r>
        <w:t xml:space="preserve">min.=6.26, mean=13.50, std. dev.=2.79). </w:t>
      </w:r>
    </w:p>
    <w:p w:rsidR="00C45355" w:rsidRPr="00E927BB" w:rsidRDefault="00C45355" w:rsidP="00C45355">
      <w:pPr>
        <w:pStyle w:val="BodyText"/>
        <w:rPr>
          <w:color w:val="000000"/>
        </w:rPr>
      </w:pPr>
      <w:r>
        <w:t>The average for all five readability test and standard deviation are provided in Figure 3. These score indicate that some of the students are writing at a much higher level than the other. For example, considering the Gunning Fog test, the writings span between 7</w:t>
      </w:r>
      <w:r w:rsidRPr="00D80B3E">
        <w:rPr>
          <w:vertAlign w:val="superscript"/>
        </w:rPr>
        <w:t>th</w:t>
      </w:r>
      <w:r>
        <w:t xml:space="preserve"> grader to a person with nineteen years of formal education. </w:t>
      </w:r>
      <w:r w:rsidRPr="00E83154">
        <w:rPr>
          <w:i/>
          <w:iCs/>
        </w:rPr>
        <w:t>Flesch-Kincaid</w:t>
      </w:r>
      <w:r>
        <w:t xml:space="preserve"> readability test level has a standard deviation of 2.31 with maximum score of 16.52 indicating that the text is very difficult to read and only university graduates can grasp it while writing with minimum score can be comprehended by an average 11-year old school student.  </w:t>
      </w:r>
      <w:r w:rsidRPr="00E83154">
        <w:rPr>
          <w:i/>
          <w:iCs/>
        </w:rPr>
        <w:t>Coleman-</w:t>
      </w:r>
      <w:proofErr w:type="spellStart"/>
      <w:r w:rsidRPr="00E83154">
        <w:rPr>
          <w:i/>
          <w:iCs/>
        </w:rPr>
        <w:t>Liau</w:t>
      </w:r>
      <w:proofErr w:type="spellEnd"/>
      <w:r>
        <w:t xml:space="preserve"> </w:t>
      </w:r>
      <w:r w:rsidRPr="006B3818">
        <w:t>readability score reflects a grade level above</w:t>
      </w:r>
      <w:r>
        <w:t xml:space="preserve"> or below the grade level of</w:t>
      </w:r>
      <w:r w:rsidRPr="006B3818">
        <w:t xml:space="preserve"> </w:t>
      </w:r>
      <w:r>
        <w:t xml:space="preserve">the </w:t>
      </w:r>
      <w:r w:rsidRPr="006B3818">
        <w:t xml:space="preserve">intended audience, </w:t>
      </w:r>
      <w:r>
        <w:t>and</w:t>
      </w:r>
      <w:r w:rsidRPr="006B3818">
        <w:t xml:space="preserve"> </w:t>
      </w:r>
      <w:r>
        <w:t xml:space="preserve">text is </w:t>
      </w:r>
      <w:r w:rsidRPr="00E927BB">
        <w:rPr>
          <w:color w:val="000000"/>
        </w:rPr>
        <w:t>required to be re-written to match intended target.</w:t>
      </w:r>
    </w:p>
    <w:p w:rsidR="00C45355" w:rsidRDefault="001566F4" w:rsidP="00C45355">
      <w:pPr>
        <w:pStyle w:val="BodyText"/>
        <w:rPr>
          <w:color w:val="000000"/>
        </w:rPr>
      </w:pPr>
      <w:r>
        <w:rPr>
          <w:noProof/>
          <w:color w:val="000000"/>
          <w:lang w:val="en-NZ" w:eastAsia="en-NZ"/>
        </w:rPr>
        <mc:AlternateContent>
          <mc:Choice Requires="wps">
            <w:drawing>
              <wp:anchor distT="45720" distB="45720" distL="114300" distR="114300" simplePos="0" relativeHeight="251667456" behindDoc="0" locked="0" layoutInCell="1" allowOverlap="0">
                <wp:simplePos x="0" y="0"/>
                <wp:positionH relativeFrom="column">
                  <wp:posOffset>5715</wp:posOffset>
                </wp:positionH>
                <wp:positionV relativeFrom="page">
                  <wp:posOffset>7706797</wp:posOffset>
                </wp:positionV>
                <wp:extent cx="2992120" cy="1935480"/>
                <wp:effectExtent l="0" t="0" r="0" b="762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120" cy="1935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02C1" w:rsidRDefault="00ED02C1" w:rsidP="00ED02C1">
                            <w:pPr>
                              <w:jc w:val="left"/>
                            </w:pPr>
                            <w:r w:rsidRPr="003C3E27">
                              <w:rPr>
                                <w:noProof/>
                                <w:lang w:val="en-NZ" w:eastAsia="en-NZ"/>
                              </w:rPr>
                              <w:drawing>
                                <wp:inline distT="0" distB="0" distL="0" distR="0">
                                  <wp:extent cx="2717929" cy="1709692"/>
                                  <wp:effectExtent l="0" t="0" r="635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574" cy="1749727"/>
                                          </a:xfrm>
                                          <a:prstGeom prst="rect">
                                            <a:avLst/>
                                          </a:prstGeom>
                                          <a:noFill/>
                                          <a:ln>
                                            <a:noFill/>
                                          </a:ln>
                                        </pic:spPr>
                                      </pic:pic>
                                    </a:graphicData>
                                  </a:graphic>
                                </wp:inline>
                              </w:drawing>
                            </w:r>
                          </w:p>
                          <w:p w:rsidR="00ED02C1" w:rsidRPr="007866DC" w:rsidRDefault="00EF75F3" w:rsidP="00ED02C1">
                            <w:pPr>
                              <w:jc w:val="left"/>
                              <w:rPr>
                                <w:sz w:val="16"/>
                                <w:szCs w:val="16"/>
                              </w:rPr>
                            </w:pPr>
                            <w:r>
                              <w:rPr>
                                <w:sz w:val="16"/>
                                <w:szCs w:val="16"/>
                              </w:rPr>
                              <w:t>Fig.</w:t>
                            </w:r>
                            <w:r w:rsidR="001F51B5">
                              <w:rPr>
                                <w:sz w:val="16"/>
                                <w:szCs w:val="16"/>
                              </w:rPr>
                              <w:t xml:space="preserve"> 3.</w:t>
                            </w:r>
                            <w:r w:rsidR="00ED02C1" w:rsidRPr="007866DC">
                              <w:rPr>
                                <w:sz w:val="16"/>
                                <w:szCs w:val="16"/>
                              </w:rPr>
                              <w:t xml:space="preserve"> Average reading level and standard deviation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29" type="#_x0000_t202" style="position:absolute;left:0;text-align:left;margin-left:.45pt;margin-top:606.85pt;width:235.6pt;height:15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" o:allowoverlap="f" stroked="f">
                <v:textbox>
                  <w:txbxContent>
                    <w:p w:rsidR="00ED02C1" w:rsidRDefault="00ED02C1" w:rsidP="00ED02C1">
                      <w:pPr>
                        <w:jc w:val="left"/>
                      </w:pPr>
                      <w:r w:rsidRPr="003C3E27">
                        <w:rPr>
                          <w:noProof/>
                          <w:lang w:val="en-NZ" w:eastAsia="en-NZ"/>
                        </w:rPr>
                        <w:drawing>
                          <wp:inline distT="0" distB="0" distL="0" distR="0">
                            <wp:extent cx="2717929" cy="1709692"/>
                            <wp:effectExtent l="0" t="0" r="635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574" cy="1749727"/>
                                    </a:xfrm>
                                    <a:prstGeom prst="rect">
                                      <a:avLst/>
                                    </a:prstGeom>
                                    <a:noFill/>
                                    <a:ln>
                                      <a:noFill/>
                                    </a:ln>
                                  </pic:spPr>
                                </pic:pic>
                              </a:graphicData>
                            </a:graphic>
                          </wp:inline>
                        </w:drawing>
                      </w:r>
                    </w:p>
                    <w:p w:rsidR="00ED02C1" w:rsidRPr="007866DC" w:rsidRDefault="00EF75F3" w:rsidP="00ED02C1">
                      <w:pPr>
                        <w:jc w:val="left"/>
                        <w:rPr>
                          <w:sz w:val="16"/>
                          <w:szCs w:val="16"/>
                        </w:rPr>
                      </w:pPr>
                      <w:r>
                        <w:rPr>
                          <w:sz w:val="16"/>
                          <w:szCs w:val="16"/>
                        </w:rPr>
                        <w:t>Fig.</w:t>
                      </w:r>
                      <w:r w:rsidR="001F51B5">
                        <w:rPr>
                          <w:sz w:val="16"/>
                          <w:szCs w:val="16"/>
                        </w:rPr>
                        <w:t xml:space="preserve"> 3.</w:t>
                      </w:r>
                      <w:r w:rsidR="00ED02C1" w:rsidRPr="007866DC">
                        <w:rPr>
                          <w:sz w:val="16"/>
                          <w:szCs w:val="16"/>
                        </w:rPr>
                        <w:t xml:space="preserve"> Average reading level and standard deviation</w:t>
                      </w:r>
                    </w:p>
                  </w:txbxContent>
                </v:textbox>
                <w10:wrap type="square" anchory="page"/>
              </v:shape>
            </w:pict>
          </mc:Fallback>
        </mc:AlternateContent>
      </w:r>
      <w:r w:rsidR="00C45355" w:rsidRPr="00E927BB">
        <w:rPr>
          <w:color w:val="000000"/>
        </w:rPr>
        <w:t>The results also indicate that on average, students writing target the audience between</w:t>
      </w:r>
      <w:r w:rsidR="00C45355">
        <w:t xml:space="preserve"> grade 11 and 14. </w:t>
      </w:r>
      <w:r w:rsidR="00C45355" w:rsidRPr="00E8314B">
        <w:t>American adult reads at a 7</w:t>
      </w:r>
      <w:r w:rsidR="00C45355" w:rsidRPr="007866DC">
        <w:t>th</w:t>
      </w:r>
      <w:r w:rsidR="00C45355">
        <w:t xml:space="preserve"> </w:t>
      </w:r>
      <w:r w:rsidR="00C45355" w:rsidRPr="00E8314B">
        <w:t>to 9</w:t>
      </w:r>
      <w:r w:rsidR="00C45355" w:rsidRPr="007866DC">
        <w:t xml:space="preserve">th </w:t>
      </w:r>
      <w:r w:rsidR="00C45355">
        <w:t xml:space="preserve">- </w:t>
      </w:r>
      <w:r w:rsidR="00C45355" w:rsidRPr="00E8314B">
        <w:t>grade level</w:t>
      </w:r>
      <w:r w:rsidR="00C45355">
        <w:t>.</w:t>
      </w:r>
      <w:r w:rsidR="00C45355" w:rsidRPr="00E8314B">
        <w:t xml:space="preserve"> In order to </w:t>
      </w:r>
      <w:r w:rsidR="00C45355">
        <w:t>obtain the maximum</w:t>
      </w:r>
      <w:r w:rsidR="00C45355" w:rsidRPr="00E8314B">
        <w:t xml:space="preserve"> </w:t>
      </w:r>
      <w:r w:rsidR="00C45355">
        <w:t xml:space="preserve">number </w:t>
      </w:r>
      <w:r w:rsidR="00C45355" w:rsidRPr="00E8314B">
        <w:t xml:space="preserve">readers, </w:t>
      </w:r>
      <w:r w:rsidR="00C45355">
        <w:t>it is important</w:t>
      </w:r>
      <w:r w:rsidR="00C45355" w:rsidRPr="00E8314B">
        <w:t xml:space="preserve"> to keep content within that range.</w:t>
      </w:r>
      <w:r w:rsidR="00C45355">
        <w:t xml:space="preserve"> These finding are shared with the students who can take measure to reduce/increase the complexity of the writing and make it more engaging for the readers. We intend to include a follow up writing in future so that students could see </w:t>
      </w:r>
      <w:r w:rsidR="00C45355" w:rsidRPr="00E927BB">
        <w:rPr>
          <w:color w:val="000000"/>
        </w:rPr>
        <w:t xml:space="preserve">the </w:t>
      </w:r>
      <w:r w:rsidR="00C45355" w:rsidRPr="00521514">
        <w:rPr>
          <w:color w:val="000000"/>
        </w:rPr>
        <w:t>analysis of their writing by using the tool and resubmit their writing after bringing down or raising the complexity to the required level.</w:t>
      </w:r>
    </w:p>
    <w:p w:rsidR="00C45355" w:rsidRDefault="00C45355" w:rsidP="00C45355">
      <w:pPr>
        <w:pStyle w:val="BodyText"/>
      </w:pPr>
      <w:r w:rsidRPr="00521514">
        <w:rPr>
          <w:color w:val="000000"/>
        </w:rPr>
        <w:t>Around 14% students’ writing were in suitable range for the audiences and 4%</w:t>
      </w:r>
      <w:r w:rsidRPr="00E927BB">
        <w:rPr>
          <w:color w:val="000000"/>
        </w:rPr>
        <w:t xml:space="preserve"> writing</w:t>
      </w:r>
      <w:r>
        <w:t xml:space="preserve"> were too easy</w:t>
      </w:r>
      <w:r w:rsidR="000E2CCD">
        <w:rPr>
          <w:lang w:val="en-NZ"/>
        </w:rPr>
        <w:t xml:space="preserve"> as shown in Figure 4</w:t>
      </w:r>
      <w:r>
        <w:t>. Around 82% of the students’ writing were not suitable for targeted audiences. This is in accordance with Winsor finding that engineering students believe that they are presenting data or giving a detailed account of reality. They never think that they are propounding for an interpretation or persuading an audience through their writing. This can be improved by providing useful feedback otherwise they will have to learn on job by interacting with real audiences. In this way, the students are more conscious about their audience and based on the feedback provided by them, tune the writing to suit their needs. This problem can be fixed during their stay at university so that they are productive when they start their professional career. It will also save the precious resources of the organization spent on training them.</w:t>
      </w:r>
    </w:p>
    <w:p w:rsidR="00C45355" w:rsidRDefault="00C45355" w:rsidP="00C45355">
      <w:pPr>
        <w:pStyle w:val="BodyText"/>
        <w:rPr>
          <w:color w:val="000000"/>
        </w:rPr>
      </w:pPr>
      <w:r>
        <w:t xml:space="preserve">We </w:t>
      </w:r>
      <w:proofErr w:type="spellStart"/>
      <w:r>
        <w:t>analyzed</w:t>
      </w:r>
      <w:proofErr w:type="spellEnd"/>
      <w:r>
        <w:t xml:space="preserve"> the tone of all 79 writings and </w:t>
      </w:r>
      <w:r>
        <w:rPr>
          <w:lang w:val="en-NZ"/>
        </w:rPr>
        <w:t xml:space="preserve">the </w:t>
      </w:r>
      <w:r>
        <w:t>result</w:t>
      </w:r>
      <w:r>
        <w:rPr>
          <w:lang w:val="en-NZ"/>
        </w:rPr>
        <w:t>s</w:t>
      </w:r>
      <w:r>
        <w:t xml:space="preserve"> are shown in Figure 5. Majority of the writings have </w:t>
      </w:r>
      <w:r w:rsidRPr="003D00E6">
        <w:rPr>
          <w:i/>
        </w:rPr>
        <w:t>analytical</w:t>
      </w:r>
      <w:r>
        <w:t xml:space="preserve"> tone which was expected as these writings contain the </w:t>
      </w:r>
      <w:r w:rsidRPr="0023772F">
        <w:t>reasons or logic/ jus</w:t>
      </w:r>
      <w:r>
        <w:t>tifications to support the idea presented</w:t>
      </w:r>
      <w:r w:rsidRPr="0023772F">
        <w:t xml:space="preserve">. </w:t>
      </w:r>
      <w:r>
        <w:t xml:space="preserve">This also indicates that students </w:t>
      </w:r>
      <w:proofErr w:type="spellStart"/>
      <w:r w:rsidRPr="0023772F">
        <w:t>analyze</w:t>
      </w:r>
      <w:r>
        <w:t>d</w:t>
      </w:r>
      <w:proofErr w:type="spellEnd"/>
      <w:r>
        <w:t xml:space="preserve"> an issue, presented the pros, and compared</w:t>
      </w:r>
      <w:r w:rsidRPr="0023772F">
        <w:t xml:space="preserve"> two </w:t>
      </w:r>
      <w:r>
        <w:t>scenarios (situation before and after suggested solution)</w:t>
      </w:r>
      <w:r w:rsidRPr="0023772F">
        <w:t xml:space="preserve"> and </w:t>
      </w:r>
      <w:r>
        <w:t>indicated</w:t>
      </w:r>
      <w:r w:rsidRPr="0023772F">
        <w:t xml:space="preserve"> why </w:t>
      </w:r>
      <w:r>
        <w:rPr>
          <w:lang w:val="en-NZ"/>
        </w:rPr>
        <w:t xml:space="preserve">the </w:t>
      </w:r>
      <w:r>
        <w:t>presented idea is better. This is required from the engineering students that they discard the colloquial writing and embrace a more professional, analytical tone</w:t>
      </w:r>
      <w:r w:rsidRPr="00521514">
        <w:rPr>
          <w:color w:val="000000"/>
        </w:rPr>
        <w:t>. It is preferred that they use precise language, sound confident, avoid unfamiliar language, prioritizing clarity, and get rid of filler words [20].</w:t>
      </w:r>
    </w:p>
    <w:p w:rsidR="00C45355" w:rsidRPr="00521514" w:rsidRDefault="00867055" w:rsidP="00C45355">
      <w:pPr>
        <w:pStyle w:val="BodyText"/>
        <w:rPr>
          <w:color w:val="000000"/>
        </w:rPr>
      </w:pPr>
      <w:r>
        <w:rPr>
          <w:noProof/>
          <w:lang w:val="en-NZ" w:eastAsia="en-NZ"/>
        </w:rPr>
        <mc:AlternateContent>
          <mc:Choice Requires="wps">
            <w:drawing>
              <wp:anchor distT="45720" distB="45720" distL="114300" distR="114300" simplePos="0" relativeHeight="251674624" behindDoc="0" locked="0" layoutInCell="1" allowOverlap="1" wp14:anchorId="0A232474" wp14:editId="013A23ED">
                <wp:simplePos x="0" y="0"/>
                <wp:positionH relativeFrom="column">
                  <wp:posOffset>0</wp:posOffset>
                </wp:positionH>
                <wp:positionV relativeFrom="paragraph">
                  <wp:posOffset>929161</wp:posOffset>
                </wp:positionV>
                <wp:extent cx="3133090" cy="194754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090" cy="1947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7055" w:rsidRDefault="00867055" w:rsidP="00867055">
                            <w:pPr>
                              <w:jc w:val="left"/>
                            </w:pPr>
                            <w:r w:rsidRPr="004E7F14">
                              <w:rPr>
                                <w:noProof/>
                                <w:lang w:val="en-NZ" w:eastAsia="en-NZ"/>
                              </w:rPr>
                              <w:drawing>
                                <wp:inline distT="0" distB="0" distL="0" distR="0" wp14:anchorId="0765B7C8" wp14:editId="644826CB">
                                  <wp:extent cx="2986645" cy="16960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887" cy="1754147"/>
                                          </a:xfrm>
                                          <a:prstGeom prst="rect">
                                            <a:avLst/>
                                          </a:prstGeom>
                                          <a:noFill/>
                                          <a:ln>
                                            <a:noFill/>
                                          </a:ln>
                                        </pic:spPr>
                                      </pic:pic>
                                    </a:graphicData>
                                  </a:graphic>
                                </wp:inline>
                              </w:drawing>
                            </w:r>
                          </w:p>
                          <w:p w:rsidR="00867055" w:rsidRPr="00E51166" w:rsidRDefault="00867055" w:rsidP="00867055">
                            <w:pPr>
                              <w:jc w:val="left"/>
                              <w:rPr>
                                <w:sz w:val="16"/>
                                <w:szCs w:val="16"/>
                              </w:rPr>
                            </w:pPr>
                            <w:r>
                              <w:rPr>
                                <w:sz w:val="16"/>
                                <w:szCs w:val="16"/>
                              </w:rPr>
                              <w:t xml:space="preserve">Fig. </w:t>
                            </w:r>
                            <w:r w:rsidRPr="00E51166">
                              <w:rPr>
                                <w:sz w:val="16"/>
                                <w:szCs w:val="16"/>
                              </w:rPr>
                              <w:t>5</w:t>
                            </w:r>
                            <w:r>
                              <w:rPr>
                                <w:sz w:val="16"/>
                                <w:szCs w:val="16"/>
                              </w:rPr>
                              <w:t>.</w:t>
                            </w:r>
                            <w:r w:rsidRPr="00E51166">
                              <w:rPr>
                                <w:sz w:val="16"/>
                                <w:szCs w:val="16"/>
                              </w:rPr>
                              <w:t xml:space="preserve"> Use of </w:t>
                            </w:r>
                            <w:r>
                              <w:rPr>
                                <w:sz w:val="16"/>
                                <w:szCs w:val="16"/>
                              </w:rPr>
                              <w:t xml:space="preserve">different </w:t>
                            </w:r>
                            <w:r w:rsidRPr="00E51166">
                              <w:rPr>
                                <w:sz w:val="16"/>
                                <w:szCs w:val="16"/>
                              </w:rPr>
                              <w:t>tones in writing</w:t>
                            </w:r>
                            <w:r>
                              <w:rPr>
                                <w:sz w:val="16"/>
                                <w:szCs w:val="16"/>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232474" id="Text Box 3" o:spid="_x0000_s1030" type="#_x0000_t202" style="position:absolute;left:0;text-align:left;margin-left:0;margin-top:73.15pt;width:246.7pt;height:153.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" stroked="f">
                <v:textbox>
                  <w:txbxContent>
                    <w:p w:rsidR="00867055" w:rsidRDefault="00867055" w:rsidP="00867055">
                      <w:pPr>
                        <w:jc w:val="left"/>
                      </w:pPr>
                      <w:r w:rsidRPr="004E7F14">
                        <w:rPr>
                          <w:noProof/>
                          <w:lang w:val="en-NZ" w:eastAsia="en-NZ"/>
                        </w:rPr>
                        <w:drawing>
                          <wp:inline distT="0" distB="0" distL="0" distR="0" wp14:anchorId="0765B7C8" wp14:editId="644826CB">
                            <wp:extent cx="2986645" cy="16960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887" cy="1754147"/>
                                    </a:xfrm>
                                    <a:prstGeom prst="rect">
                                      <a:avLst/>
                                    </a:prstGeom>
                                    <a:noFill/>
                                    <a:ln>
                                      <a:noFill/>
                                    </a:ln>
                                  </pic:spPr>
                                </pic:pic>
                              </a:graphicData>
                            </a:graphic>
                          </wp:inline>
                        </w:drawing>
                      </w:r>
                    </w:p>
                    <w:p w:rsidR="00867055" w:rsidRPr="00E51166" w:rsidRDefault="00867055" w:rsidP="00867055">
                      <w:pPr>
                        <w:jc w:val="left"/>
                        <w:rPr>
                          <w:sz w:val="16"/>
                          <w:szCs w:val="16"/>
                        </w:rPr>
                      </w:pPr>
                      <w:r>
                        <w:rPr>
                          <w:sz w:val="16"/>
                          <w:szCs w:val="16"/>
                        </w:rPr>
                        <w:t xml:space="preserve">Fig. </w:t>
                      </w:r>
                      <w:r w:rsidRPr="00E51166">
                        <w:rPr>
                          <w:sz w:val="16"/>
                          <w:szCs w:val="16"/>
                        </w:rPr>
                        <w:t>5</w:t>
                      </w:r>
                      <w:r>
                        <w:rPr>
                          <w:sz w:val="16"/>
                          <w:szCs w:val="16"/>
                        </w:rPr>
                        <w:t>.</w:t>
                      </w:r>
                      <w:r w:rsidRPr="00E51166">
                        <w:rPr>
                          <w:sz w:val="16"/>
                          <w:szCs w:val="16"/>
                        </w:rPr>
                        <w:t xml:space="preserve"> Use of </w:t>
                      </w:r>
                      <w:r>
                        <w:rPr>
                          <w:sz w:val="16"/>
                          <w:szCs w:val="16"/>
                        </w:rPr>
                        <w:t xml:space="preserve">different </w:t>
                      </w:r>
                      <w:r w:rsidRPr="00E51166">
                        <w:rPr>
                          <w:sz w:val="16"/>
                          <w:szCs w:val="16"/>
                        </w:rPr>
                        <w:t>tones in writing</w:t>
                      </w:r>
                      <w:r>
                        <w:rPr>
                          <w:sz w:val="16"/>
                          <w:szCs w:val="16"/>
                        </w:rPr>
                        <w:t>s</w:t>
                      </w:r>
                    </w:p>
                  </w:txbxContent>
                </v:textbox>
                <w10:wrap type="square"/>
              </v:shape>
            </w:pict>
          </mc:Fallback>
        </mc:AlternateContent>
      </w:r>
      <w:r w:rsidR="00C45355" w:rsidRPr="00521514">
        <w:rPr>
          <w:color w:val="000000"/>
        </w:rPr>
        <w:t>Around ~36 writing pieces had a tentative tone that can be attributed to students’ cautious approach when making their claims as these claims</w:t>
      </w:r>
      <w:r w:rsidR="00C45355">
        <w:t xml:space="preserve"> are not proven or established beyond doubt or debate. There were 8 writings that had </w:t>
      </w:r>
      <w:r w:rsidR="00C45355" w:rsidRPr="006431E9">
        <w:rPr>
          <w:i/>
        </w:rPr>
        <w:t>confident</w:t>
      </w:r>
      <w:r w:rsidR="00C45355">
        <w:t xml:space="preserve"> tone and the majority of these writing came from high-performance students. This raises a research question if there is any </w:t>
      </w:r>
      <w:r w:rsidR="00C45355">
        <w:lastRenderedPageBreak/>
        <w:t xml:space="preserve">correlation between the performance of students and the tone of their writing which need further exploration. Also, being too much confident about the idea may result in over claim or exaggeration. The recommended </w:t>
      </w:r>
      <w:r w:rsidR="00C45355">
        <w:rPr>
          <w:lang w:val="en-NZ"/>
        </w:rPr>
        <w:t xml:space="preserve">approach </w:t>
      </w:r>
      <w:r w:rsidR="00C45355">
        <w:t>is to avoid</w:t>
      </w:r>
      <w:r w:rsidR="00C45355" w:rsidRPr="004A79ED">
        <w:t xml:space="preserve"> boast</w:t>
      </w:r>
      <w:r w:rsidR="00C45355">
        <w:t>ing</w:t>
      </w:r>
      <w:r w:rsidR="00C45355" w:rsidRPr="004A79ED">
        <w:t xml:space="preserve"> about inventive imagination</w:t>
      </w:r>
      <w:r w:rsidR="00C45355">
        <w:t xml:space="preserve"> and calibrate the communication by</w:t>
      </w:r>
      <w:r w:rsidR="00C45355" w:rsidRPr="004A79ED">
        <w:t xml:space="preserve"> </w:t>
      </w:r>
      <w:r w:rsidR="00C45355">
        <w:t>striking</w:t>
      </w:r>
      <w:r w:rsidR="00C45355" w:rsidRPr="004A79ED">
        <w:t xml:space="preserve"> a </w:t>
      </w:r>
      <w:r w:rsidR="00C45355" w:rsidRPr="00521514">
        <w:rPr>
          <w:color w:val="000000"/>
        </w:rPr>
        <w:t>balance between expressing extreme confidence in idea and humility in creative genius.</w:t>
      </w:r>
    </w:p>
    <w:p w:rsidR="00C45355" w:rsidRDefault="00C45355" w:rsidP="00C45355">
      <w:pPr>
        <w:pStyle w:val="BodyText"/>
      </w:pPr>
      <w:r>
        <w:t xml:space="preserve"> Other dominant tones are </w:t>
      </w:r>
      <w:r w:rsidRPr="006431E9">
        <w:rPr>
          <w:i/>
        </w:rPr>
        <w:t>sadness</w:t>
      </w:r>
      <w:r>
        <w:t xml:space="preserve"> and </w:t>
      </w:r>
      <w:r w:rsidRPr="006431E9">
        <w:rPr>
          <w:i/>
        </w:rPr>
        <w:t>joy</w:t>
      </w:r>
      <w:r>
        <w:t xml:space="preserve"> which can be due to the type of problem being addressed. The ideas focused on minimizing human miseries had a sad tone and, on the other hand, ideas improving quality of life or adding luxury had joyous tone. Since </w:t>
      </w:r>
      <w:r>
        <w:rPr>
          <w:lang w:val="en-NZ"/>
        </w:rPr>
        <w:t xml:space="preserve">these are </w:t>
      </w:r>
      <w:r>
        <w:t xml:space="preserve">creative writings </w:t>
      </w:r>
      <w:r>
        <w:rPr>
          <w:lang w:val="en-NZ"/>
        </w:rPr>
        <w:t>it is bound to</w:t>
      </w:r>
      <w:r>
        <w:t xml:space="preserve"> say things in words that create illusions or that establish a mood or other desired effect</w:t>
      </w:r>
      <w:r w:rsidRPr="00521514">
        <w:t>s</w:t>
      </w:r>
      <w:r>
        <w:t xml:space="preserve">. </w:t>
      </w:r>
    </w:p>
    <w:p w:rsidR="00C45355" w:rsidRDefault="001E6566" w:rsidP="00C45355">
      <w:pPr>
        <w:pStyle w:val="BodyText"/>
      </w:pPr>
      <w:r>
        <w:rPr>
          <w:noProof/>
          <w:lang w:val="en-NZ" w:eastAsia="en-NZ"/>
        </w:rPr>
        <mc:AlternateContent>
          <mc:Choice Requires="wps">
            <w:drawing>
              <wp:anchor distT="45720" distB="45720" distL="114300" distR="114300" simplePos="0" relativeHeight="251669504" behindDoc="0" locked="0" layoutInCell="1" allowOverlap="0" wp14:anchorId="25715F43" wp14:editId="096059B2">
                <wp:simplePos x="0" y="0"/>
                <wp:positionH relativeFrom="column">
                  <wp:posOffset>-6350</wp:posOffset>
                </wp:positionH>
                <wp:positionV relativeFrom="page">
                  <wp:posOffset>4916170</wp:posOffset>
                </wp:positionV>
                <wp:extent cx="3028315" cy="2190750"/>
                <wp:effectExtent l="0" t="0" r="63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2190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5AC0" w:rsidRDefault="00A65AC0" w:rsidP="00A65AC0">
                            <w:r w:rsidRPr="006A32E9">
                              <w:rPr>
                                <w:noProof/>
                                <w:lang w:val="en-NZ" w:eastAsia="en-NZ"/>
                              </w:rPr>
                              <w:drawing>
                                <wp:inline distT="0" distB="0" distL="0" distR="0" wp14:anchorId="36ECCB00" wp14:editId="35349ED6">
                                  <wp:extent cx="2849880" cy="1917865"/>
                                  <wp:effectExtent l="0" t="0" r="762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446" cy="1933051"/>
                                          </a:xfrm>
                                          <a:prstGeom prst="rect">
                                            <a:avLst/>
                                          </a:prstGeom>
                                          <a:noFill/>
                                          <a:ln>
                                            <a:noFill/>
                                          </a:ln>
                                        </pic:spPr>
                                      </pic:pic>
                                    </a:graphicData>
                                  </a:graphic>
                                </wp:inline>
                              </w:drawing>
                            </w:r>
                          </w:p>
                          <w:p w:rsidR="00A65AC0" w:rsidRPr="00035F12" w:rsidRDefault="00C72446" w:rsidP="00A65AC0">
                            <w:pPr>
                              <w:jc w:val="left"/>
                              <w:rPr>
                                <w:sz w:val="16"/>
                                <w:szCs w:val="16"/>
                              </w:rPr>
                            </w:pPr>
                            <w:r>
                              <w:rPr>
                                <w:sz w:val="16"/>
                                <w:szCs w:val="16"/>
                              </w:rPr>
                              <w:t xml:space="preserve"> Fig.</w:t>
                            </w:r>
                            <w:r w:rsidR="00A65AC0">
                              <w:rPr>
                                <w:sz w:val="16"/>
                                <w:szCs w:val="16"/>
                              </w:rPr>
                              <w:t xml:space="preserve"> 6</w:t>
                            </w:r>
                            <w:r w:rsidR="001F51B5">
                              <w:rPr>
                                <w:sz w:val="16"/>
                                <w:szCs w:val="16"/>
                              </w:rPr>
                              <w:t>.</w:t>
                            </w:r>
                            <w:r w:rsidR="00A65AC0" w:rsidRPr="00035F12">
                              <w:rPr>
                                <w:sz w:val="16"/>
                                <w:szCs w:val="16"/>
                              </w:rPr>
                              <w:t xml:space="preserve"> Multiple tones in the writings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715F43" id="Text Box 7" o:spid="_x0000_s1031" type="#_x0000_t202" style="position:absolute;left:0;text-align:left;margin-left:-.5pt;margin-top:387.1pt;width:238.45pt;height:1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1shwIAABc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" o:allowoverlap="f" stroked="f">
                <v:textbox>
                  <w:txbxContent>
                    <w:p w:rsidR="00A65AC0" w:rsidRDefault="00A65AC0" w:rsidP="00A65AC0">
                      <w:r w:rsidRPr="006A32E9">
                        <w:rPr>
                          <w:noProof/>
                          <w:lang w:val="en-NZ" w:eastAsia="en-NZ"/>
                        </w:rPr>
                        <w:drawing>
                          <wp:inline distT="0" distB="0" distL="0" distR="0" wp14:anchorId="36ECCB00" wp14:editId="35349ED6">
                            <wp:extent cx="2849880" cy="1917865"/>
                            <wp:effectExtent l="0" t="0" r="762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446" cy="1933051"/>
                                    </a:xfrm>
                                    <a:prstGeom prst="rect">
                                      <a:avLst/>
                                    </a:prstGeom>
                                    <a:noFill/>
                                    <a:ln>
                                      <a:noFill/>
                                    </a:ln>
                                  </pic:spPr>
                                </pic:pic>
                              </a:graphicData>
                            </a:graphic>
                          </wp:inline>
                        </w:drawing>
                      </w:r>
                    </w:p>
                    <w:p w:rsidR="00A65AC0" w:rsidRPr="00035F12" w:rsidRDefault="00C72446" w:rsidP="00A65AC0">
                      <w:pPr>
                        <w:jc w:val="left"/>
                        <w:rPr>
                          <w:sz w:val="16"/>
                          <w:szCs w:val="16"/>
                        </w:rPr>
                      </w:pPr>
                      <w:r>
                        <w:rPr>
                          <w:sz w:val="16"/>
                          <w:szCs w:val="16"/>
                        </w:rPr>
                        <w:t xml:space="preserve"> Fig.</w:t>
                      </w:r>
                      <w:r w:rsidR="00A65AC0">
                        <w:rPr>
                          <w:sz w:val="16"/>
                          <w:szCs w:val="16"/>
                        </w:rPr>
                        <w:t xml:space="preserve"> 6</w:t>
                      </w:r>
                      <w:r w:rsidR="001F51B5">
                        <w:rPr>
                          <w:sz w:val="16"/>
                          <w:szCs w:val="16"/>
                        </w:rPr>
                        <w:t>.</w:t>
                      </w:r>
                      <w:r w:rsidR="00A65AC0" w:rsidRPr="00035F12">
                        <w:rPr>
                          <w:sz w:val="16"/>
                          <w:szCs w:val="16"/>
                        </w:rPr>
                        <w:t xml:space="preserve"> Multiple tones in the writings</w:t>
                      </w:r>
                    </w:p>
                  </w:txbxContent>
                </v:textbox>
                <w10:wrap type="square" anchory="page"/>
              </v:shape>
            </w:pict>
          </mc:Fallback>
        </mc:AlternateContent>
      </w:r>
      <w:r w:rsidR="00C45355">
        <w:t xml:space="preserve">It was also revealed that many of the writings had multiple tones as shown in Figure 6. More than 42 writings (around 54.43%) have two tones and 16 (20.25%) writings have three tones. There are 8 (10%) writings each which have single tone and four tones.  </w:t>
      </w:r>
      <w:r w:rsidR="00C45355">
        <w:rPr>
          <w:lang w:val="en-NZ"/>
        </w:rPr>
        <w:t xml:space="preserve">Having multiple tone is not a problem but tone should reflect the correct emotions. The topic of each writing (problem being solved) is reflected through the tones. The students’ writings are expected to have more than one tones as writing comprises two parts. In first part, problem is described and second part explains the benefits reaped if the problem is solved. </w:t>
      </w:r>
      <w:r w:rsidR="00C45355">
        <w:t>The students’ can be informed that how by using different</w:t>
      </w:r>
      <w:r w:rsidR="00C45355" w:rsidRPr="00DB2F8A">
        <w:t xml:space="preserve"> words in a specific way to </w:t>
      </w:r>
      <w:r w:rsidR="00C45355">
        <w:t xml:space="preserve">improve the tone of their writing for </w:t>
      </w:r>
      <w:r w:rsidR="00C45355" w:rsidRPr="00DB2F8A">
        <w:t>convey</w:t>
      </w:r>
      <w:r w:rsidR="00C45355">
        <w:t>ing</w:t>
      </w:r>
      <w:r w:rsidR="00C45355" w:rsidRPr="00DB2F8A">
        <w:t xml:space="preserve"> non-verbal observations about specific subjects</w:t>
      </w:r>
      <w:r w:rsidR="00C45355">
        <w:t xml:space="preserve"> [20]</w:t>
      </w:r>
      <w:r w:rsidR="00C45355" w:rsidRPr="00DB2F8A">
        <w:t>.</w:t>
      </w:r>
    </w:p>
    <w:p w:rsidR="00C45355" w:rsidRPr="001C3656" w:rsidRDefault="00C45355" w:rsidP="00C45355">
      <w:pPr>
        <w:pStyle w:val="Heading1"/>
        <w:ind w:firstLine="216"/>
      </w:pPr>
      <w:r>
        <w:t>Study Limitations</w:t>
      </w:r>
    </w:p>
    <w:p w:rsidR="00C45355" w:rsidRDefault="00C45355" w:rsidP="00C45355">
      <w:pPr>
        <w:pStyle w:val="BodyText"/>
        <w:ind w:firstLine="0"/>
        <w:rPr>
          <w:lang w:val="en-NZ"/>
        </w:rPr>
      </w:pPr>
      <w:r w:rsidRPr="001C3656">
        <w:rPr>
          <w:lang w:val="en-NZ"/>
        </w:rPr>
        <w:t xml:space="preserve">This </w:t>
      </w:r>
      <w:r>
        <w:rPr>
          <w:lang w:val="en-NZ"/>
        </w:rPr>
        <w:t xml:space="preserve">study </w:t>
      </w:r>
      <w:r w:rsidRPr="001C3656">
        <w:rPr>
          <w:lang w:val="en-NZ"/>
        </w:rPr>
        <w:t xml:space="preserve">is a qualitative and exploratory </w:t>
      </w:r>
      <w:r>
        <w:rPr>
          <w:lang w:val="en-NZ"/>
        </w:rPr>
        <w:t>in nature</w:t>
      </w:r>
      <w:r w:rsidRPr="001C3656">
        <w:rPr>
          <w:lang w:val="en-NZ"/>
        </w:rPr>
        <w:t xml:space="preserve"> and </w:t>
      </w:r>
      <w:r>
        <w:rPr>
          <w:lang w:val="en-NZ"/>
        </w:rPr>
        <w:t>lays the basis</w:t>
      </w:r>
      <w:r w:rsidRPr="001C3656">
        <w:rPr>
          <w:lang w:val="en-NZ"/>
        </w:rPr>
        <w:t xml:space="preserve"> of further initiatives </w:t>
      </w:r>
      <w:r>
        <w:rPr>
          <w:lang w:val="en-NZ"/>
        </w:rPr>
        <w:t xml:space="preserve">and research. It is conducted for </w:t>
      </w:r>
      <w:r w:rsidRPr="001C3656">
        <w:rPr>
          <w:lang w:val="en-NZ"/>
        </w:rPr>
        <w:t>on</w:t>
      </w:r>
      <w:r>
        <w:rPr>
          <w:lang w:val="en-NZ"/>
        </w:rPr>
        <w:t>e specific course in an engineering department of a university with less than 150 participants in total. Also, writings are rather short and might have deviation from actual score as some test may require a</w:t>
      </w:r>
      <w:r w:rsidRPr="00D106EB">
        <w:rPr>
          <w:lang w:val="en-NZ"/>
        </w:rPr>
        <w:t xml:space="preserve"> </w:t>
      </w:r>
      <w:r>
        <w:rPr>
          <w:lang w:val="en-NZ"/>
        </w:rPr>
        <w:t>sizeable</w:t>
      </w:r>
      <w:r w:rsidRPr="00D106EB">
        <w:rPr>
          <w:lang w:val="en-NZ"/>
        </w:rPr>
        <w:t xml:space="preserve"> </w:t>
      </w:r>
      <w:r>
        <w:rPr>
          <w:lang w:val="en-NZ"/>
        </w:rPr>
        <w:t>specimen</w:t>
      </w:r>
      <w:r w:rsidRPr="00D106EB">
        <w:rPr>
          <w:lang w:val="en-NZ"/>
        </w:rPr>
        <w:t xml:space="preserve"> of </w:t>
      </w:r>
      <w:r>
        <w:rPr>
          <w:lang w:val="en-NZ"/>
        </w:rPr>
        <w:t>writing</w:t>
      </w:r>
      <w:r w:rsidRPr="00D106EB">
        <w:rPr>
          <w:lang w:val="en-NZ"/>
        </w:rPr>
        <w:t xml:space="preserve"> </w:t>
      </w:r>
      <w:r>
        <w:rPr>
          <w:lang w:val="en-NZ"/>
        </w:rPr>
        <w:t xml:space="preserve">so that the measured level of difficulty could be </w:t>
      </w:r>
      <w:r w:rsidRPr="00D106EB">
        <w:rPr>
          <w:lang w:val="en-NZ"/>
        </w:rPr>
        <w:t>considered a</w:t>
      </w:r>
      <w:r>
        <w:rPr>
          <w:lang w:val="en-NZ"/>
        </w:rPr>
        <w:t>s valid.</w:t>
      </w:r>
    </w:p>
    <w:p w:rsidR="00EB6819" w:rsidRPr="003736C7" w:rsidRDefault="00EB6819" w:rsidP="00C45355">
      <w:pPr>
        <w:pStyle w:val="BodyText"/>
        <w:ind w:firstLine="0"/>
        <w:rPr>
          <w:vanish/>
          <w:lang w:val="en-NZ"/>
        </w:rPr>
      </w:pPr>
    </w:p>
    <w:p w:rsidR="00C45355" w:rsidRDefault="00C45355" w:rsidP="00C45355">
      <w:pPr>
        <w:pStyle w:val="Heading1"/>
        <w:ind w:firstLine="216"/>
      </w:pPr>
      <w:r>
        <w:t>Conclusion</w:t>
      </w:r>
    </w:p>
    <w:p w:rsidR="00C45355" w:rsidRDefault="00C45355" w:rsidP="00C45355">
      <w:pPr>
        <w:pStyle w:val="BodyText"/>
        <w:ind w:firstLine="0"/>
        <w:rPr>
          <w:lang w:val="en-NZ"/>
        </w:rPr>
      </w:pPr>
      <w:r>
        <w:tab/>
      </w:r>
      <w:r>
        <w:rPr>
          <w:lang w:val="en-NZ"/>
        </w:rPr>
        <w:t xml:space="preserve">This paper reported undergraduate engineering students’ ability to tune their writing according to the audiences. We   found out that a large number of the students tend to write above or below the acceptable level. We also found out that majority of students’ writing have multiple tones largely </w:t>
      </w:r>
      <w:r>
        <w:rPr>
          <w:lang w:val="en-NZ"/>
        </w:rPr>
        <w:t>dominated by the analytical tone. We intend to share our finding with the practitioner in academia who can take necessary initiatives to improve students’ ability to write for the nontechnical audiences. In the future, we intend to explore the reasons which made students write in a way not suited to non-technical audiences. We intend to expand this to different engineering disciplines in different countries. This study also found a hint of correlation between students’ academic performance and tone of writing which needs further investigation.</w:t>
      </w:r>
    </w:p>
    <w:p w:rsidR="00C45355" w:rsidRDefault="00C45355" w:rsidP="00952B9A">
      <w:pPr>
        <w:pStyle w:val="Heading5"/>
      </w:pPr>
      <w:r w:rsidRPr="005B520E">
        <w:t>References</w:t>
      </w:r>
    </w:p>
    <w:p w:rsidR="00C45355" w:rsidRDefault="00C45355" w:rsidP="00C45355">
      <w:pPr>
        <w:pStyle w:val="references"/>
      </w:pPr>
      <w:bookmarkStart w:id="0" w:name="_GoBack"/>
      <w:bookmarkEnd w:id="0"/>
      <w:r>
        <w:t xml:space="preserve">M. J. Riemer, "Communication skills for the 21st century engineer," </w:t>
      </w:r>
      <w:r>
        <w:rPr>
          <w:i/>
        </w:rPr>
        <w:t>Global J. of Eng</w:t>
      </w:r>
      <w:r w:rsidRPr="00EA029F">
        <w:rPr>
          <w:i/>
        </w:rPr>
        <w:t>. Educ</w:t>
      </w:r>
      <w:r>
        <w:rPr>
          <w:i/>
        </w:rPr>
        <w:t>.</w:t>
      </w:r>
      <w:r>
        <w:t>, vol. 11, no. 1, pp. 89-100, 2007.</w:t>
      </w:r>
    </w:p>
    <w:p w:rsidR="00C45355" w:rsidRDefault="00C45355" w:rsidP="00C45355">
      <w:pPr>
        <w:pStyle w:val="references"/>
      </w:pPr>
      <w:r>
        <w:t xml:space="preserve">E. Baum, "Engineering accreditation in the USA – Criteria 2000," in </w:t>
      </w:r>
      <w:r w:rsidRPr="00EA029F">
        <w:rPr>
          <w:i/>
        </w:rPr>
        <w:t xml:space="preserve">Proc. </w:t>
      </w:r>
      <w:r>
        <w:rPr>
          <w:i/>
        </w:rPr>
        <w:t>2nd Global Congr. on Eng</w:t>
      </w:r>
      <w:r>
        <w:t xml:space="preserve">. </w:t>
      </w:r>
      <w:r w:rsidRPr="009135CC">
        <w:rPr>
          <w:i/>
        </w:rPr>
        <w:t>Educ</w:t>
      </w:r>
      <w:r>
        <w:t>., 2000, pp.17-20.</w:t>
      </w:r>
    </w:p>
    <w:p w:rsidR="00C45355" w:rsidRDefault="00C45355" w:rsidP="00C45355">
      <w:pPr>
        <w:pStyle w:val="references"/>
      </w:pPr>
      <w:r>
        <w:t xml:space="preserve">A. A. Anwar and D. J. Richards, "Comparison of EC and ABET Accreditation Criteria," </w:t>
      </w:r>
      <w:r>
        <w:rPr>
          <w:i/>
        </w:rPr>
        <w:t>J.</w:t>
      </w:r>
      <w:r w:rsidRPr="00EA029F">
        <w:rPr>
          <w:i/>
        </w:rPr>
        <w:t xml:space="preserve"> of Pr</w:t>
      </w:r>
      <w:r>
        <w:rPr>
          <w:i/>
        </w:rPr>
        <w:t>ofessional Issues in Eng. Educ.</w:t>
      </w:r>
      <w:r w:rsidRPr="00EA029F">
        <w:rPr>
          <w:i/>
        </w:rPr>
        <w:t xml:space="preserve"> and Practice</w:t>
      </w:r>
      <w:r>
        <w:t>, vol. 144, no. 3,  p. 06018001, Jul. 2018.</w:t>
      </w:r>
    </w:p>
    <w:p w:rsidR="00C45355" w:rsidRDefault="00C45355" w:rsidP="00C45355">
      <w:pPr>
        <w:pStyle w:val="references"/>
      </w:pPr>
      <w:r>
        <w:t>J. Trevelyan,</w:t>
      </w:r>
      <w:r w:rsidRPr="005D710C">
        <w:t xml:space="preserve"> </w:t>
      </w:r>
      <w:r>
        <w:t>“</w:t>
      </w:r>
      <w:r w:rsidRPr="005D710C">
        <w:t>Real engineering is not what you learne</w:t>
      </w:r>
      <w:r>
        <w:t>d at school...… or is it,”</w:t>
      </w:r>
      <w:r w:rsidRPr="005D710C">
        <w:t xml:space="preserve"> In </w:t>
      </w:r>
      <w:r w:rsidRPr="00490E47">
        <w:rPr>
          <w:i/>
        </w:rPr>
        <w:t>Research in Enginee</w:t>
      </w:r>
      <w:r>
        <w:rPr>
          <w:i/>
        </w:rPr>
        <w:t xml:space="preserve">ring Education Symp. </w:t>
      </w:r>
      <w:r w:rsidRPr="00490E47">
        <w:rPr>
          <w:i/>
        </w:rPr>
        <w:t xml:space="preserve"> (REES)</w:t>
      </w:r>
      <w:r>
        <w:t>. Davos, Switzerland, 2008.</w:t>
      </w:r>
    </w:p>
    <w:p w:rsidR="00C45355" w:rsidRPr="006838F6" w:rsidRDefault="00C45355" w:rsidP="00C45355">
      <w:pPr>
        <w:pStyle w:val="references"/>
      </w:pPr>
      <w:r>
        <w:rPr>
          <w:lang w:val="en-NZ"/>
        </w:rPr>
        <w:t>H. McGregor,</w:t>
      </w:r>
      <w:r w:rsidRPr="006838F6">
        <w:rPr>
          <w:lang w:val="en-NZ"/>
        </w:rPr>
        <w:t xml:space="preserve"> </w:t>
      </w:r>
      <w:r>
        <w:rPr>
          <w:lang w:val="en-NZ"/>
        </w:rPr>
        <w:t>“</w:t>
      </w:r>
      <w:r w:rsidRPr="006838F6">
        <w:rPr>
          <w:lang w:val="en-NZ"/>
        </w:rPr>
        <w:t>Designing a system for the development of communication abilities within an engineeri</w:t>
      </w:r>
      <w:r>
        <w:rPr>
          <w:lang w:val="en-NZ"/>
        </w:rPr>
        <w:t xml:space="preserve">ng context,” </w:t>
      </w:r>
      <w:r>
        <w:rPr>
          <w:i/>
          <w:lang w:val="en-NZ"/>
        </w:rPr>
        <w:t>Australian J. of Commun</w:t>
      </w:r>
      <w:r w:rsidRPr="006838F6">
        <w:rPr>
          <w:lang w:val="en-NZ"/>
        </w:rPr>
        <w:t xml:space="preserve">, </w:t>
      </w:r>
      <w:r>
        <w:rPr>
          <w:lang w:val="en-NZ"/>
        </w:rPr>
        <w:t>Vol. 27</w:t>
      </w:r>
      <w:r w:rsidRPr="006838F6">
        <w:rPr>
          <w:lang w:val="en-NZ"/>
        </w:rPr>
        <w:t>,</w:t>
      </w:r>
      <w:r>
        <w:rPr>
          <w:lang w:val="en-NZ"/>
        </w:rPr>
        <w:t xml:space="preserve"> no. 1, </w:t>
      </w:r>
      <w:r w:rsidRPr="006838F6">
        <w:rPr>
          <w:lang w:val="en-NZ"/>
        </w:rPr>
        <w:t xml:space="preserve"> p.83.</w:t>
      </w:r>
      <w:r>
        <w:rPr>
          <w:lang w:val="en-NZ"/>
        </w:rPr>
        <w:t xml:space="preserve"> 2000 </w:t>
      </w:r>
      <w:r w:rsidRPr="0084286F">
        <w:rPr>
          <w:color w:val="000000"/>
          <w:lang w:val="en-NZ"/>
        </w:rPr>
        <w:t>[Edited version of paper presented to the Australian and New Zealand Communication Association Conference (1999)].</w:t>
      </w:r>
    </w:p>
    <w:p w:rsidR="00C45355" w:rsidRDefault="00C45355" w:rsidP="00C45355">
      <w:pPr>
        <w:pStyle w:val="references"/>
      </w:pPr>
      <w:r>
        <w:t xml:space="preserve">M. </w:t>
      </w:r>
      <w:r w:rsidRPr="005D710C">
        <w:t>K</w:t>
      </w:r>
      <w:r>
        <w:t xml:space="preserve">ilduff, </w:t>
      </w:r>
      <w:r w:rsidRPr="005D710C">
        <w:t xml:space="preserve">J. L </w:t>
      </w:r>
      <w:r>
        <w:t xml:space="preserve">Funk and A. </w:t>
      </w:r>
      <w:r w:rsidRPr="005D710C">
        <w:t xml:space="preserve">Mehra, </w:t>
      </w:r>
      <w:r>
        <w:t>“</w:t>
      </w:r>
      <w:r w:rsidRPr="005D710C">
        <w:t>Engineering ide</w:t>
      </w:r>
      <w:r>
        <w:t>ntity in a Japanese factory,”</w:t>
      </w:r>
      <w:r w:rsidRPr="005D710C">
        <w:t xml:space="preserve"> </w:t>
      </w:r>
      <w:r>
        <w:rPr>
          <w:i/>
        </w:rPr>
        <w:t>Organization Sci.</w:t>
      </w:r>
      <w:r w:rsidRPr="005D710C">
        <w:t xml:space="preserve">, </w:t>
      </w:r>
      <w:r>
        <w:t xml:space="preserve">vol. </w:t>
      </w:r>
      <w:r w:rsidRPr="005D710C">
        <w:t>8</w:t>
      </w:r>
      <w:r>
        <w:t xml:space="preserve">, no. </w:t>
      </w:r>
      <w:r w:rsidRPr="005D710C">
        <w:t xml:space="preserve">6, </w:t>
      </w:r>
      <w:r>
        <w:t>pp. 579-592, Dec. 1997.</w:t>
      </w:r>
    </w:p>
    <w:p w:rsidR="00C45355" w:rsidRDefault="00C45355" w:rsidP="00C45355">
      <w:pPr>
        <w:pStyle w:val="references"/>
      </w:pPr>
      <w:r>
        <w:t xml:space="preserve">C. Tenopir and </w:t>
      </w:r>
      <w:r w:rsidRPr="00CE5900">
        <w:t xml:space="preserve">D. W. </w:t>
      </w:r>
      <w:r>
        <w:t>King, “A communication framework for engineers,” in</w:t>
      </w:r>
      <w:r w:rsidRPr="00CE5900">
        <w:t xml:space="preserve"> </w:t>
      </w:r>
      <w:r w:rsidRPr="00F93753">
        <w:rPr>
          <w:i/>
        </w:rPr>
        <w:t>Communication patterns of engineers</w:t>
      </w:r>
      <w:r>
        <w:t>, John Wiley &amp; Sons, ch. 3, pp27-35, 2004.</w:t>
      </w:r>
    </w:p>
    <w:p w:rsidR="00C45355" w:rsidRDefault="00C45355" w:rsidP="00C45355">
      <w:pPr>
        <w:pStyle w:val="references"/>
      </w:pPr>
      <w:r>
        <w:t xml:space="preserve">D. B. Lenard and L. Pintarić, "Communication skills as a prerequisite for the 21st century engineer," </w:t>
      </w:r>
      <w:r>
        <w:rPr>
          <w:i/>
        </w:rPr>
        <w:t>ELT Vibes: Int.</w:t>
      </w:r>
      <w:r w:rsidRPr="00EA029F">
        <w:rPr>
          <w:i/>
        </w:rPr>
        <w:t xml:space="preserve"> E-Journal for Research in ELT</w:t>
      </w:r>
      <w:r>
        <w:t>, vol. 4, no. 2, p. 11, 2018.</w:t>
      </w:r>
    </w:p>
    <w:p w:rsidR="00C45355" w:rsidRDefault="00C45355" w:rsidP="00C45355">
      <w:pPr>
        <w:pStyle w:val="references"/>
      </w:pPr>
      <w:r>
        <w:t xml:space="preserve">Becker, H. S., and J. </w:t>
      </w:r>
      <w:r w:rsidRPr="004B2736">
        <w:t xml:space="preserve">Carper, </w:t>
      </w:r>
      <w:r>
        <w:t>“</w:t>
      </w:r>
      <w:r w:rsidRPr="004B2736">
        <w:t>The elements of identification with an occupation</w:t>
      </w:r>
      <w:r>
        <w:t>,”</w:t>
      </w:r>
      <w:r w:rsidRPr="004B2736">
        <w:t xml:space="preserve"> </w:t>
      </w:r>
      <w:r>
        <w:rPr>
          <w:i/>
        </w:rPr>
        <w:t>Amer. sociol.</w:t>
      </w:r>
      <w:r w:rsidRPr="00F93753">
        <w:rPr>
          <w:i/>
        </w:rPr>
        <w:t xml:space="preserve"> review</w:t>
      </w:r>
      <w:r w:rsidRPr="004B2736">
        <w:t xml:space="preserve">, </w:t>
      </w:r>
      <w:r>
        <w:t xml:space="preserve">vol. </w:t>
      </w:r>
      <w:r w:rsidRPr="004B2736">
        <w:t>21</w:t>
      </w:r>
      <w:r>
        <w:t>, no. 3</w:t>
      </w:r>
      <w:r w:rsidRPr="004B2736">
        <w:t xml:space="preserve">, </w:t>
      </w:r>
      <w:r>
        <w:t>pp. 341-348, Jun. 1956.</w:t>
      </w:r>
    </w:p>
    <w:p w:rsidR="00C45355" w:rsidRDefault="00C45355" w:rsidP="00C45355">
      <w:pPr>
        <w:pStyle w:val="references"/>
      </w:pPr>
      <w:r>
        <w:t xml:space="preserve">J. </w:t>
      </w:r>
      <w:r w:rsidRPr="00EB61AB">
        <w:t xml:space="preserve">Trevelyan, </w:t>
      </w:r>
      <w:r>
        <w:t xml:space="preserve"> “Flying start, no wings, wrong direction,” in </w:t>
      </w:r>
      <w:r w:rsidRPr="00EB61AB">
        <w:t xml:space="preserve"> </w:t>
      </w:r>
      <w:r w:rsidRPr="005330D2">
        <w:rPr>
          <w:i/>
        </w:rPr>
        <w:t>The making of an expert engineer</w:t>
      </w:r>
      <w:r>
        <w:t xml:space="preserve">, Leiden, Netherlands, </w:t>
      </w:r>
      <w:r w:rsidRPr="00EB61AB">
        <w:t>Crc Press</w:t>
      </w:r>
      <w:r>
        <w:t>, 2014, pp. 31-72,</w:t>
      </w:r>
    </w:p>
    <w:p w:rsidR="00C45355" w:rsidRDefault="00C45355" w:rsidP="00C45355">
      <w:pPr>
        <w:pStyle w:val="references"/>
      </w:pPr>
      <w:r>
        <w:t>G. Buzzi-Ferraris and F.</w:t>
      </w:r>
      <w:r w:rsidRPr="003736BC">
        <w:t xml:space="preserve"> Manenti. "BzzMath: Library overview and recent advances in</w:t>
      </w:r>
      <w:r>
        <w:t xml:space="preserve"> numerical methods." In Comput.</w:t>
      </w:r>
      <w:r w:rsidRPr="003736BC">
        <w:t xml:space="preserve"> Aided Che</w:t>
      </w:r>
      <w:r>
        <w:t>mical Eng.</w:t>
      </w:r>
      <w:r w:rsidRPr="003736BC">
        <w:t xml:space="preserve">, vol. 30, pp. 1312-1316. Elsevier, </w:t>
      </w:r>
      <w:r>
        <w:t xml:space="preserve">Jan. </w:t>
      </w:r>
      <w:r w:rsidRPr="003736BC">
        <w:t>2012.</w:t>
      </w:r>
    </w:p>
    <w:p w:rsidR="00C45355" w:rsidRDefault="00C45355" w:rsidP="00C45355">
      <w:pPr>
        <w:pStyle w:val="references"/>
      </w:pPr>
      <w:r w:rsidRPr="00C01340">
        <w:t xml:space="preserve">M. Nadeem, M. Blumenstein and M. Biglari-Abhari, "Exploring the Impact of in Class Writing Exercises in an Engineering Course," 2018 </w:t>
      </w:r>
      <w:r>
        <w:rPr>
          <w:i/>
        </w:rPr>
        <w:t>IEEE Int. Conf.</w:t>
      </w:r>
      <w:r w:rsidRPr="00627FBD">
        <w:rPr>
          <w:i/>
        </w:rPr>
        <w:t xml:space="preserve"> on Teaching, Assessment, and Learning for Engineering (TALE)</w:t>
      </w:r>
      <w:r w:rsidRPr="00C01340">
        <w:t>, Wollongong, NSW, 2018, pp. 342-349, doi: 10.1109/TALE.2018.8615411.</w:t>
      </w:r>
    </w:p>
    <w:p w:rsidR="00C45355" w:rsidRDefault="00C45355" w:rsidP="00C45355">
      <w:pPr>
        <w:pStyle w:val="references"/>
      </w:pPr>
      <w:r>
        <w:t xml:space="preserve">J. D. </w:t>
      </w:r>
      <w:r w:rsidRPr="001B3EA4">
        <w:t>Ford, and L</w:t>
      </w:r>
      <w:r>
        <w:t xml:space="preserve">. </w:t>
      </w:r>
      <w:r w:rsidRPr="001B3EA4">
        <w:t>A</w:t>
      </w:r>
      <w:r>
        <w:t>. Riley,</w:t>
      </w:r>
      <w:r w:rsidRPr="001B3EA4">
        <w:t xml:space="preserve"> "Integrating communication and engineering education: A look at curricula, cours</w:t>
      </w:r>
      <w:r>
        <w:t xml:space="preserve">es, and support systems." </w:t>
      </w:r>
      <w:r>
        <w:rPr>
          <w:i/>
        </w:rPr>
        <w:t>J. of Eng.</w:t>
      </w:r>
      <w:r w:rsidRPr="00636313">
        <w:rPr>
          <w:i/>
        </w:rPr>
        <w:t xml:space="preserve"> Educ.</w:t>
      </w:r>
      <w:r>
        <w:t>, vol.</w:t>
      </w:r>
      <w:r w:rsidRPr="001B3EA4">
        <w:t xml:space="preserve"> 92,</w:t>
      </w:r>
      <w:r>
        <w:t xml:space="preserve"> no. 4, pp. 325-328, 2003.</w:t>
      </w:r>
    </w:p>
    <w:p w:rsidR="00C45355" w:rsidRDefault="00C45355" w:rsidP="00C45355">
      <w:pPr>
        <w:pStyle w:val="references"/>
      </w:pPr>
      <w:r>
        <w:t xml:space="preserve">R. T. </w:t>
      </w:r>
      <w:r w:rsidRPr="001B3EA4">
        <w:t>Craig</w:t>
      </w:r>
      <w:r>
        <w:t>,</w:t>
      </w:r>
      <w:r w:rsidRPr="001B3EA4">
        <w:t xml:space="preserve"> "Meta</w:t>
      </w:r>
      <w:r>
        <w:t>discourse, theory, and practice,</w:t>
      </w:r>
      <w:r w:rsidRPr="001B3EA4">
        <w:t>" Research on Language &amp; Social Interaction</w:t>
      </w:r>
      <w:r>
        <w:t>, vol. 32, no. 1, pp. 21-29, Jan. 1999.</w:t>
      </w:r>
    </w:p>
    <w:p w:rsidR="00C45355" w:rsidRDefault="00C45355" w:rsidP="00C45355">
      <w:pPr>
        <w:pStyle w:val="references"/>
      </w:pPr>
      <w:r>
        <w:t>E. Dale, Edgar, and J. S. Chall,</w:t>
      </w:r>
      <w:r w:rsidRPr="001B3EA4">
        <w:t xml:space="preserve"> "The concept of readability." Elementary English</w:t>
      </w:r>
      <w:r>
        <w:t>, vol. 26, no. 1,</w:t>
      </w:r>
      <w:r w:rsidRPr="001B3EA4">
        <w:t xml:space="preserve"> </w:t>
      </w:r>
      <w:r>
        <w:t>pp.19-26, Jan. 1949.</w:t>
      </w:r>
    </w:p>
    <w:p w:rsidR="00C45355" w:rsidRDefault="00C45355" w:rsidP="00C45355">
      <w:pPr>
        <w:pStyle w:val="references"/>
      </w:pPr>
      <w:r>
        <w:t xml:space="preserve">L. T. </w:t>
      </w:r>
      <w:r w:rsidRPr="001B3EA4">
        <w:t>Frase,</w:t>
      </w:r>
      <w:r>
        <w:t xml:space="preserve"> A. Rubin, K. Starr</w:t>
      </w:r>
      <w:r w:rsidRPr="001B3EA4">
        <w:t xml:space="preserve"> and D. L.</w:t>
      </w:r>
      <w:r>
        <w:t xml:space="preserve"> Plung. "Readability formulas: u</w:t>
      </w:r>
      <w:r w:rsidRPr="001B3EA4">
        <w:t>sed</w:t>
      </w:r>
      <w:r>
        <w:t xml:space="preserve"> or abused?</w:t>
      </w:r>
      <w:r w:rsidRPr="001B3EA4">
        <w:t>"</w:t>
      </w:r>
      <w:r>
        <w:t xml:space="preserve">, </w:t>
      </w:r>
      <w:r w:rsidRPr="001B3EA4">
        <w:t xml:space="preserve"> </w:t>
      </w:r>
      <w:r w:rsidRPr="00521514">
        <w:rPr>
          <w:i/>
        </w:rPr>
        <w:t>IEEE Trans. Prof. Commun</w:t>
      </w:r>
      <w:r>
        <w:t>, vol. 24, pp. 48-54, 1981.</w:t>
      </w:r>
    </w:p>
    <w:p w:rsidR="00C45355" w:rsidRDefault="00C45355" w:rsidP="00C45355">
      <w:pPr>
        <w:pStyle w:val="references"/>
      </w:pPr>
      <w:r>
        <w:t xml:space="preserve">D. F. </w:t>
      </w:r>
      <w:r w:rsidRPr="00764539">
        <w:t>B</w:t>
      </w:r>
      <w:r>
        <w:t xml:space="preserve">eer and D. A. McMurrey, “Enigneer and writing,” in </w:t>
      </w:r>
      <w:r w:rsidRPr="00B629C3">
        <w:rPr>
          <w:i/>
        </w:rPr>
        <w:t>A guide to writing as an engineer</w:t>
      </w:r>
      <w:r>
        <w:t>,” 5th ed. John Wiley &amp; Sons, Hoboken, 2019, ch. 1,  pp. 1-9.</w:t>
      </w:r>
    </w:p>
    <w:p w:rsidR="00C45355" w:rsidRDefault="00C45355" w:rsidP="00C45355">
      <w:pPr>
        <w:pStyle w:val="references"/>
      </w:pPr>
      <w:r>
        <w:t xml:space="preserve">Analyze My Writing, </w:t>
      </w:r>
      <w:r w:rsidRPr="00AA1F1E">
        <w:t>http://www.analyzemywriting.com/about_us.html</w:t>
      </w:r>
      <w:r>
        <w:t>; last accessed on 3</w:t>
      </w:r>
      <w:r w:rsidRPr="00A20EBA">
        <w:rPr>
          <w:vertAlign w:val="superscript"/>
        </w:rPr>
        <w:t>rd</w:t>
      </w:r>
      <w:r>
        <w:t xml:space="preserve"> July 2020.</w:t>
      </w:r>
    </w:p>
    <w:p w:rsidR="00C45355" w:rsidRDefault="00C45355" w:rsidP="00C45355">
      <w:pPr>
        <w:pStyle w:val="references"/>
      </w:pPr>
      <w:r w:rsidRPr="00A20EBA">
        <w:t>IBM Watson Developer Cloud</w:t>
      </w:r>
      <w:r>
        <w:t xml:space="preserve">, Tone Analyzer, </w:t>
      </w:r>
      <w:r w:rsidRPr="00AA1F1E">
        <w:t>https://tone-analyzer-demo.ng.bluemix.net/</w:t>
      </w:r>
      <w:r>
        <w:t>, last accessed on 3</w:t>
      </w:r>
      <w:r w:rsidRPr="00740C23">
        <w:rPr>
          <w:vertAlign w:val="superscript"/>
        </w:rPr>
        <w:t>rd</w:t>
      </w:r>
      <w:r>
        <w:t xml:space="preserve"> July 2020. </w:t>
      </w:r>
    </w:p>
    <w:p w:rsidR="00184200" w:rsidRDefault="00C45355" w:rsidP="00066313">
      <w:pPr>
        <w:pStyle w:val="references"/>
        <w:sectPr w:rsidR="00184200" w:rsidSect="00C45355">
          <w:type w:val="continuous"/>
          <w:pgSz w:w="11906" w:h="16838" w:code="9"/>
          <w:pgMar w:top="1080" w:right="907" w:bottom="1440" w:left="907" w:header="720" w:footer="720" w:gutter="0"/>
          <w:cols w:num="2" w:space="360"/>
          <w:docGrid w:linePitch="360"/>
        </w:sectPr>
      </w:pPr>
      <w:r>
        <w:t>P. A. Laplante, “Technical w</w:t>
      </w:r>
      <w:r w:rsidRPr="005A191E">
        <w:t xml:space="preserve">riting: A </w:t>
      </w:r>
      <w:r>
        <w:t>practical guide for engineers scientists, and n</w:t>
      </w:r>
      <w:r w:rsidRPr="005A191E">
        <w:t xml:space="preserve">ontechnical </w:t>
      </w:r>
      <w:r>
        <w:t>professionals,”</w:t>
      </w:r>
      <w:r w:rsidRPr="005A191E">
        <w:t xml:space="preserve"> </w:t>
      </w:r>
      <w:r>
        <w:t>end ed.. CRC Press,</w:t>
      </w:r>
      <w:r w:rsidR="00066313">
        <w:t xml:space="preserve"> 2018.</w:t>
      </w:r>
    </w:p>
    <w:p w:rsidR="009303D9" w:rsidRDefault="009303D9" w:rsidP="00867055">
      <w:pPr>
        <w:pStyle w:val="references"/>
        <w:numPr>
          <w:ilvl w:val="0"/>
          <w:numId w:val="0"/>
        </w:numPr>
        <w:ind w:left="360"/>
      </w:pPr>
    </w:p>
    <w:sectPr w:rsidR="009303D9" w:rsidSect="00C4535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228" w:rsidRDefault="00B00228" w:rsidP="001A3B3D">
      <w:r>
        <w:separator/>
      </w:r>
    </w:p>
  </w:endnote>
  <w:endnote w:type="continuationSeparator" w:id="0">
    <w:p w:rsidR="00B00228" w:rsidRDefault="00B002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URW Gothic 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CF0" w:rsidRPr="006F6D3D" w:rsidRDefault="00A11CF0"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228" w:rsidRDefault="00B00228" w:rsidP="001A3B3D">
      <w:r>
        <w:separator/>
      </w:r>
    </w:p>
  </w:footnote>
  <w:footnote w:type="continuationSeparator" w:id="0">
    <w:p w:rsidR="00B00228" w:rsidRDefault="00B00228"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EA0DCF"/>
    <w:multiLevelType w:val="hybridMultilevel"/>
    <w:tmpl w:val="E8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22896"/>
    <w:multiLevelType w:val="hybridMultilevel"/>
    <w:tmpl w:val="8D766114"/>
    <w:lvl w:ilvl="0" w:tplc="14090001">
      <w:start w:val="1"/>
      <w:numFmt w:val="bullet"/>
      <w:lvlText w:val=""/>
      <w:lvlJc w:val="left"/>
      <w:pPr>
        <w:ind w:left="1080" w:hanging="360"/>
      </w:pPr>
      <w:rPr>
        <w:rFonts w:ascii="Symbol" w:hAnsi="Symbol" w:hint="default"/>
      </w:rPr>
    </w:lvl>
    <w:lvl w:ilvl="1" w:tplc="14090001">
      <w:start w:val="1"/>
      <w:numFmt w:val="bullet"/>
      <w:lvlText w:val=""/>
      <w:lvlJc w:val="left"/>
      <w:pPr>
        <w:ind w:left="1800" w:hanging="360"/>
      </w:pPr>
      <w:rPr>
        <w:rFonts w:ascii="Symbol" w:hAnsi="Symbol" w:hint="default"/>
      </w:r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6313"/>
    <w:rsid w:val="0008758A"/>
    <w:rsid w:val="00087795"/>
    <w:rsid w:val="000C1E68"/>
    <w:rsid w:val="000E2CCD"/>
    <w:rsid w:val="000E5473"/>
    <w:rsid w:val="001566F4"/>
    <w:rsid w:val="00184200"/>
    <w:rsid w:val="001A2EFD"/>
    <w:rsid w:val="001A3B3D"/>
    <w:rsid w:val="001B67DC"/>
    <w:rsid w:val="001E6566"/>
    <w:rsid w:val="001F51B5"/>
    <w:rsid w:val="002254A9"/>
    <w:rsid w:val="00233D97"/>
    <w:rsid w:val="002347A2"/>
    <w:rsid w:val="002850E3"/>
    <w:rsid w:val="00311173"/>
    <w:rsid w:val="00354FCF"/>
    <w:rsid w:val="003A19E2"/>
    <w:rsid w:val="003B2B40"/>
    <w:rsid w:val="003B4E04"/>
    <w:rsid w:val="003F5A08"/>
    <w:rsid w:val="00420716"/>
    <w:rsid w:val="00425F4D"/>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7B50"/>
    <w:rsid w:val="00645D22"/>
    <w:rsid w:val="00651A08"/>
    <w:rsid w:val="00654204"/>
    <w:rsid w:val="00670434"/>
    <w:rsid w:val="006B6B66"/>
    <w:rsid w:val="006E7BEF"/>
    <w:rsid w:val="006F6D3D"/>
    <w:rsid w:val="00715BEA"/>
    <w:rsid w:val="00740EEA"/>
    <w:rsid w:val="00794804"/>
    <w:rsid w:val="007A001B"/>
    <w:rsid w:val="007A7098"/>
    <w:rsid w:val="007B33F1"/>
    <w:rsid w:val="007B6DDA"/>
    <w:rsid w:val="007C0308"/>
    <w:rsid w:val="007C2FF2"/>
    <w:rsid w:val="007D6232"/>
    <w:rsid w:val="007F1F99"/>
    <w:rsid w:val="007F768F"/>
    <w:rsid w:val="0080791D"/>
    <w:rsid w:val="00836367"/>
    <w:rsid w:val="00867055"/>
    <w:rsid w:val="00873603"/>
    <w:rsid w:val="00875B1B"/>
    <w:rsid w:val="008A2C7D"/>
    <w:rsid w:val="008B6524"/>
    <w:rsid w:val="008C4B23"/>
    <w:rsid w:val="008F6E2C"/>
    <w:rsid w:val="009303D9"/>
    <w:rsid w:val="00933C64"/>
    <w:rsid w:val="00952B9A"/>
    <w:rsid w:val="00972203"/>
    <w:rsid w:val="009E6D5A"/>
    <w:rsid w:val="009F1D79"/>
    <w:rsid w:val="009F296C"/>
    <w:rsid w:val="009F2F7B"/>
    <w:rsid w:val="00A059B3"/>
    <w:rsid w:val="00A11CF0"/>
    <w:rsid w:val="00A65AC0"/>
    <w:rsid w:val="00A75B71"/>
    <w:rsid w:val="00AB5529"/>
    <w:rsid w:val="00AE1239"/>
    <w:rsid w:val="00AE3409"/>
    <w:rsid w:val="00B00228"/>
    <w:rsid w:val="00B11A60"/>
    <w:rsid w:val="00B22613"/>
    <w:rsid w:val="00B44A76"/>
    <w:rsid w:val="00B768D1"/>
    <w:rsid w:val="00BA1025"/>
    <w:rsid w:val="00BB0C8A"/>
    <w:rsid w:val="00BC2A8A"/>
    <w:rsid w:val="00BC3420"/>
    <w:rsid w:val="00BD670B"/>
    <w:rsid w:val="00BE7D3C"/>
    <w:rsid w:val="00BF5FF6"/>
    <w:rsid w:val="00C0207F"/>
    <w:rsid w:val="00C16117"/>
    <w:rsid w:val="00C3075A"/>
    <w:rsid w:val="00C45355"/>
    <w:rsid w:val="00C51CCA"/>
    <w:rsid w:val="00C72446"/>
    <w:rsid w:val="00C919A4"/>
    <w:rsid w:val="00CA4392"/>
    <w:rsid w:val="00CC393F"/>
    <w:rsid w:val="00D215CE"/>
    <w:rsid w:val="00D2176E"/>
    <w:rsid w:val="00D22320"/>
    <w:rsid w:val="00D632BE"/>
    <w:rsid w:val="00D72D06"/>
    <w:rsid w:val="00D7522C"/>
    <w:rsid w:val="00D7536F"/>
    <w:rsid w:val="00D76668"/>
    <w:rsid w:val="00DD1F6E"/>
    <w:rsid w:val="00E07383"/>
    <w:rsid w:val="00E165BC"/>
    <w:rsid w:val="00E61E12"/>
    <w:rsid w:val="00E7596C"/>
    <w:rsid w:val="00E878F2"/>
    <w:rsid w:val="00EB6819"/>
    <w:rsid w:val="00ED0149"/>
    <w:rsid w:val="00ED02C1"/>
    <w:rsid w:val="00EF75F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C45355"/>
    <w:rPr>
      <w:rFonts w:ascii="Segoe UI" w:hAnsi="Segoe UI" w:cs="Segoe UI"/>
      <w:sz w:val="18"/>
      <w:szCs w:val="18"/>
    </w:rPr>
  </w:style>
  <w:style w:type="character" w:customStyle="1" w:styleId="BalloonTextChar">
    <w:name w:val="Balloon Text Char"/>
    <w:basedOn w:val="DefaultParagraphFont"/>
    <w:link w:val="BalloonText"/>
    <w:rsid w:val="00C45355"/>
    <w:rPr>
      <w:rFonts w:ascii="Segoe UI" w:hAnsi="Segoe UI" w:cs="Segoe UI"/>
      <w:sz w:val="18"/>
      <w:szCs w:val="18"/>
    </w:rPr>
  </w:style>
  <w:style w:type="character" w:styleId="Hyperlink">
    <w:name w:val="Hyperlink"/>
    <w:rsid w:val="00C45355"/>
    <w:rPr>
      <w:color w:val="0563C1"/>
      <w:u w:val="single"/>
    </w:rPr>
  </w:style>
  <w:style w:type="character" w:styleId="CommentReference">
    <w:name w:val="annotation reference"/>
    <w:rsid w:val="00C45355"/>
    <w:rPr>
      <w:sz w:val="16"/>
      <w:szCs w:val="16"/>
    </w:rPr>
  </w:style>
  <w:style w:type="paragraph" w:styleId="CommentText">
    <w:name w:val="annotation text"/>
    <w:basedOn w:val="Normal"/>
    <w:link w:val="CommentTextChar"/>
    <w:rsid w:val="00C45355"/>
  </w:style>
  <w:style w:type="character" w:customStyle="1" w:styleId="CommentTextChar">
    <w:name w:val="Comment Text Char"/>
    <w:basedOn w:val="DefaultParagraphFont"/>
    <w:link w:val="CommentText"/>
    <w:rsid w:val="00C45355"/>
  </w:style>
  <w:style w:type="paragraph" w:styleId="CommentSubject">
    <w:name w:val="annotation subject"/>
    <w:basedOn w:val="CommentText"/>
    <w:next w:val="CommentText"/>
    <w:link w:val="CommentSubjectChar"/>
    <w:rsid w:val="00C45355"/>
    <w:rPr>
      <w:b/>
      <w:bCs/>
    </w:rPr>
  </w:style>
  <w:style w:type="character" w:customStyle="1" w:styleId="CommentSubjectChar">
    <w:name w:val="Comment Subject Char"/>
    <w:basedOn w:val="CommentTextChar"/>
    <w:link w:val="CommentSubject"/>
    <w:rsid w:val="00C45355"/>
    <w:rPr>
      <w:b/>
      <w:bCs/>
    </w:rPr>
  </w:style>
  <w:style w:type="paragraph" w:styleId="NoSpacing">
    <w:name w:val="No Spacing"/>
    <w:uiPriority w:val="1"/>
    <w:qFormat/>
    <w:rsid w:val="00C45355"/>
    <w:pPr>
      <w:jc w:val="center"/>
    </w:pPr>
  </w:style>
  <w:style w:type="paragraph" w:styleId="NormalWeb">
    <w:name w:val="Normal (Web)"/>
    <w:basedOn w:val="Normal"/>
    <w:uiPriority w:val="99"/>
    <w:unhideWhenUsed/>
    <w:rsid w:val="00C45355"/>
    <w:pPr>
      <w:spacing w:before="100" w:beforeAutospacing="1" w:after="100" w:afterAutospacing="1"/>
      <w:jc w:val="left"/>
    </w:pPr>
    <w:rPr>
      <w:rFonts w:eastAsia="Times New Roman"/>
      <w:sz w:val="24"/>
      <w:szCs w:val="24"/>
      <w:lang w:val="en-NZ" w:eastAsia="en-NZ"/>
    </w:rPr>
  </w:style>
  <w:style w:type="table" w:styleId="TableGrid">
    <w:name w:val="Table Grid"/>
    <w:basedOn w:val="TableNormal"/>
    <w:rsid w:val="00C45355"/>
    <w:rPr>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
    <w:name w:val="mceitemhidden"/>
    <w:rsid w:val="00C45355"/>
  </w:style>
  <w:style w:type="character" w:customStyle="1" w:styleId="hiddensuggestion">
    <w:name w:val="hiddensuggestion"/>
    <w:rsid w:val="00C45355"/>
  </w:style>
  <w:style w:type="character" w:customStyle="1" w:styleId="hiddengrammarerror">
    <w:name w:val="hiddengrammarerror"/>
    <w:rsid w:val="00C45355"/>
  </w:style>
  <w:style w:type="paragraph" w:customStyle="1" w:styleId="base--p">
    <w:name w:val="base--p"/>
    <w:basedOn w:val="Normal"/>
    <w:rsid w:val="00C45355"/>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A54B3-8EA5-457F-89BB-CDF9DD5E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5595</Words>
  <Characters>31896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Nadeem</cp:lastModifiedBy>
  <cp:revision>17</cp:revision>
  <dcterms:created xsi:type="dcterms:W3CDTF">2020-10-09T07:30:00Z</dcterms:created>
  <dcterms:modified xsi:type="dcterms:W3CDTF">2020-10-17T18:26:00Z</dcterms:modified>
</cp:coreProperties>
</file>