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Week 6 — Manual Evaluation Sheet (25–40 screens)</w:t>
      </w:r>
    </w:p>
    <w:p>
      <w:r>
        <w:rPr>
          <w:b/>
        </w:rPr>
        <w:t>Owner:</w:t>
      </w:r>
      <w:r>
        <w:t xml:space="preserve"> Muhammad Noor</w:t>
      </w:r>
    </w:p>
    <w:p>
      <w:r>
        <w:rPr>
          <w:b/>
        </w:rPr>
        <w:t>Date:</w:t>
      </w:r>
      <w:r>
        <w:t xml:space="preserve"> 14 July 2026</w:t>
      </w:r>
    </w:p>
    <w:p>
      <w:r>
        <w:rPr>
          <w:b/>
        </w:rPr>
        <w:t>Plan item:</w:t>
      </w:r>
      <w:r>
        <w:t xml:space="preserve"> Run pipeline on 25–40 screens; manual validation → Evaluation sheet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</w:rPr>
        <w:t>noor</w:t>
      </w:r>
    </w:p>
    <w:p>
      <w:pPr>
        <w:pStyle w:val="Heading2"/>
      </w:pPr>
      <w:r>
        <w:t>1. Purpose</w:t>
      </w:r>
    </w:p>
    <w:p>
      <w:r>
        <w:t xml:space="preserve">Produce a reproducible </w:t>
      </w:r>
      <w:r>
        <w:rPr>
          <w:b/>
        </w:rPr>
        <w:t>manual validation</w:t>
      </w:r>
      <w:r>
        <w:t xml:space="preserve"> of the Axion pipeline on a stratified sample of </w:t>
      </w:r>
      <w:r>
        <w:rPr>
          <w:b/>
        </w:rPr>
        <w:t>40 MASC screens</w:t>
      </w:r>
      <w:r>
        <w:t xml:space="preserve"> (SRS Must Have: 25–40 screens).</w:t>
      </w:r>
    </w:p>
    <w:p>
      <w:r>
        <w:t>For each screen:</w:t>
      </w:r>
    </w:p>
    <w:p>
      <w:r>
        <w:t>1. Run Stage 2 rules (</w:t>
      </w:r>
      <w:r>
        <w:rPr>
          <w:rFonts w:ascii="Consolas" w:hAnsi="Consolas"/>
        </w:rPr>
        <w:t>src/rules.py::check</w:t>
      </w:r>
      <w:r>
        <w:t xml:space="preserve">) on parsed </w:t>
      </w:r>
      <w:r>
        <w:rPr>
          <w:rFonts w:ascii="Consolas" w:hAnsi="Consolas"/>
        </w:rPr>
        <w:t>components.json</w:t>
      </w:r>
    </w:p>
    <w:p>
      <w:r>
        <w:t xml:space="preserve">2. Record auto score (same penalty formula as </w:t>
      </w:r>
      <w:r>
        <w:rPr>
          <w:rFonts w:ascii="Consolas" w:hAnsi="Consolas"/>
        </w:rPr>
        <w:t>agent.py</w:t>
      </w:r>
      <w:r>
        <w:t>)</w:t>
      </w:r>
    </w:p>
    <w:p>
      <w:r>
        <w:t xml:space="preserve">3. Manually classify findings: </w:t>
      </w:r>
      <w:r>
        <w:rPr>
          <w:b/>
        </w:rPr>
        <w:t>Correct / Incorrect (FP) / Uncertain / Missed (FN)</w:t>
      </w:r>
    </w:p>
    <w:p>
      <w:r>
        <w:t>4. Note R26–R30 hits for the design review</w:t>
      </w:r>
    </w:p>
    <w:p>
      <w:pPr>
        <w:pStyle w:val="Heading2"/>
      </w:pPr>
      <w:r>
        <w:t>2. How to fill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Column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`auto_score`</w:t>
            </w:r>
          </w:p>
        </w:tc>
        <w:tc>
          <w:tcPr>
            <w:tcW w:type="dxa" w:w="4320"/>
          </w:tcPr>
          <w:p>
            <w:r>
              <w:t>Pre-filled: 100 − penalties (High=10, Medium=5, Low=2), clamped 0–100</w:t>
            </w:r>
          </w:p>
        </w:tc>
      </w:tr>
      <w:tr>
        <w:tc>
          <w:tcPr>
            <w:tcW w:type="dxa" w:w="4320"/>
          </w:tcPr>
          <w:p>
            <w:r>
              <w:t>`manual_verdict`</w:t>
            </w:r>
          </w:p>
        </w:tc>
        <w:tc>
          <w:tcPr>
            <w:tcW w:type="dxa" w:w="4320"/>
          </w:tcPr>
          <w:p>
            <w:r>
              <w:t>`Correct` / `MostlyCorrect` / `Incorrect` / `Uncertain`</w:t>
            </w:r>
          </w:p>
        </w:tc>
      </w:tr>
      <w:tr>
        <w:tc>
          <w:tcPr>
            <w:tcW w:type="dxa" w:w="4320"/>
          </w:tcPr>
          <w:p>
            <w:r>
              <w:t>`false_positives_notes`</w:t>
            </w:r>
          </w:p>
        </w:tc>
        <w:tc>
          <w:tcPr>
            <w:tcW w:type="dxa" w:w="4320"/>
          </w:tcPr>
          <w:p>
            <w:r>
              <w:t>Which `rule_id`s look wrong and why</w:t>
            </w:r>
          </w:p>
        </w:tc>
      </w:tr>
      <w:tr>
        <w:tc>
          <w:tcPr>
            <w:tcW w:type="dxa" w:w="4320"/>
          </w:tcPr>
          <w:p>
            <w:r>
              <w:t>`missed_issues_notes`</w:t>
            </w:r>
          </w:p>
        </w:tc>
        <w:tc>
          <w:tcPr>
            <w:tcW w:type="dxa" w:w="4320"/>
          </w:tcPr>
          <w:p>
            <w:r>
              <w:t>Accessibility issues you see that rules missed</w:t>
            </w:r>
          </w:p>
        </w:tc>
      </w:tr>
      <w:tr>
        <w:tc>
          <w:tcPr>
            <w:tcW w:type="dxa" w:w="4320"/>
          </w:tcPr>
          <w:p>
            <w:r>
              <w:t>`reviewer`</w:t>
            </w:r>
          </w:p>
        </w:tc>
        <w:tc>
          <w:tcPr>
            <w:tcW w:type="dxa" w:w="4320"/>
          </w:tcPr>
          <w:p>
            <w:r>
              <w:t>Your name</w:t>
            </w:r>
          </w:p>
        </w:tc>
      </w:tr>
    </w:tbl>
    <w:p>
      <w:r>
        <w:rPr>
          <w:b/>
        </w:rPr>
        <w:t>Working file:</w:t>
      </w:r>
      <w:r>
        <w:t xml:space="preserve"> [</w:t>
      </w:r>
      <w:r>
        <w:rPr>
          <w:rFonts w:ascii="Consolas" w:hAnsi="Consolas"/>
        </w:rPr>
        <w:t>evaluation_sheet_40_screens.csv</w:t>
      </w:r>
      <w:r>
        <w:t>](evaluation_sheet_40_screens.csv)</w:t>
      </w:r>
    </w:p>
    <w:p>
      <w:r>
        <w:rPr>
          <w:b/>
        </w:rPr>
        <w:t>CLI regenerate auto columns:</w:t>
      </w:r>
    </w:p>
    <w:p>
      <w:r>
        <w:rPr>
          <w:rFonts w:ascii="Consolas" w:hAnsi="Consolas"/>
          <w:sz w:val="18"/>
        </w:rPr>
        <w:t># From repo root (same selection logic used to seed the CSV)</w:t>
        <w:br/>
        <w:t>python -c "from pathlib import Path; print('see scripts or re-run sheet generator')"</w:t>
      </w:r>
    </w:p>
    <w:p>
      <w:r>
        <w:t>Or open the CSV in Excel / Google Sheets and fill the three empty columns.</w:t>
      </w:r>
    </w:p>
    <w:p>
      <w:pPr>
        <w:pStyle w:val="Heading2"/>
      </w:pPr>
      <w:r>
        <w:t>3. Sample composition (40 screens)</w:t>
      </w:r>
    </w:p>
    <w:p>
      <w:r>
        <w:t>Stratified across 10 MASC categories × 4 screens each: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Screens (examples)</w:t>
            </w:r>
          </w:p>
        </w:tc>
      </w:tr>
      <w:tr>
        <w:tc>
          <w:tcPr>
            <w:tcW w:type="dxa" w:w="4320"/>
          </w:tcPr>
          <w:p>
            <w:r>
              <w:t>chat</w:t>
            </w:r>
          </w:p>
        </w:tc>
        <w:tc>
          <w:tcPr>
            <w:tcW w:type="dxa" w:w="4320"/>
          </w:tcPr>
          <w:p>
            <w:r>
              <w:t>chat_1054, chat_27877, chat_4115, chat_52748</w:t>
            </w:r>
          </w:p>
        </w:tc>
      </w:tr>
      <w:tr>
        <w:tc>
          <w:tcPr>
            <w:tcW w:type="dxa" w:w="4320"/>
          </w:tcPr>
          <w:p>
            <w:r>
              <w:t>home</w:t>
            </w:r>
          </w:p>
        </w:tc>
        <w:tc>
          <w:tcPr>
            <w:tcW w:type="dxa" w:w="4320"/>
          </w:tcPr>
          <w:p>
            <w:r>
              <w:t>home_10053, home_28771, home_44029, home_57865</w:t>
            </w:r>
          </w:p>
        </w:tc>
      </w:tr>
      <w:tr>
        <w:tc>
          <w:tcPr>
            <w:tcW w:type="dxa" w:w="4320"/>
          </w:tcPr>
          <w:p>
            <w:r>
              <w:t>list</w:t>
            </w:r>
          </w:p>
        </w:tc>
        <w:tc>
          <w:tcPr>
            <w:tcW w:type="dxa" w:w="4320"/>
          </w:tcPr>
          <w:p>
            <w:r>
              <w:t>list_10128, list_20594, list_31630, list_52107</w:t>
            </w:r>
          </w:p>
        </w:tc>
      </w:tr>
      <w:tr>
        <w:tc>
          <w:tcPr>
            <w:tcW w:type="dxa" w:w="4320"/>
          </w:tcPr>
          <w:p>
            <w:r>
              <w:t>login</w:t>
            </w:r>
          </w:p>
        </w:tc>
        <w:tc>
          <w:tcPr>
            <w:tcW w:type="dxa" w:w="4320"/>
          </w:tcPr>
          <w:p>
            <w:r>
              <w:t>login_101, login_25173, login_41105, login_57585</w:t>
            </w:r>
          </w:p>
        </w:tc>
      </w:tr>
      <w:tr>
        <w:tc>
          <w:tcPr>
            <w:tcW w:type="dxa" w:w="4320"/>
          </w:tcPr>
          <w:p>
            <w:r>
              <w:t>maps</w:t>
            </w:r>
          </w:p>
        </w:tc>
        <w:tc>
          <w:tcPr>
            <w:tcW w:type="dxa" w:w="4320"/>
          </w:tcPr>
          <w:p>
            <w:r>
              <w:t>maps_10023, maps_18975, maps_38748, maps_5561</w:t>
            </w:r>
          </w:p>
        </w:tc>
      </w:tr>
      <w:tr>
        <w:tc>
          <w:tcPr>
            <w:tcW w:type="dxa" w:w="4320"/>
          </w:tcPr>
          <w:p>
            <w:r>
              <w:t>menu</w:t>
            </w:r>
          </w:p>
        </w:tc>
        <w:tc>
          <w:tcPr>
            <w:tcW w:type="dxa" w:w="4320"/>
          </w:tcPr>
          <w:p>
            <w:r>
              <w:t>menu_10035, menu_12947, menu_17057, menu_3207</w:t>
            </w:r>
          </w:p>
        </w:tc>
      </w:tr>
      <w:tr>
        <w:tc>
          <w:tcPr>
            <w:tcW w:type="dxa" w:w="4320"/>
          </w:tcPr>
          <w:p>
            <w:r>
              <w:t>profile</w:t>
            </w:r>
          </w:p>
        </w:tc>
        <w:tc>
          <w:tcPr>
            <w:tcW w:type="dxa" w:w="4320"/>
          </w:tcPr>
          <w:p>
            <w:r>
              <w:t>profile_10106, profile_26284, profile_43462, profile_59716</w:t>
            </w:r>
          </w:p>
        </w:tc>
      </w:tr>
      <w:tr>
        <w:tc>
          <w:tcPr>
            <w:tcW w:type="dxa" w:w="4320"/>
          </w:tcPr>
          <w:p>
            <w:r>
              <w:t>search</w:t>
            </w:r>
          </w:p>
        </w:tc>
        <w:tc>
          <w:tcPr>
            <w:tcW w:type="dxa" w:w="4320"/>
          </w:tcPr>
          <w:p>
            <w:r>
              <w:t>search_1003, search_29585, search_46316, search_60416</w:t>
            </w:r>
          </w:p>
        </w:tc>
      </w:tr>
      <w:tr>
        <w:tc>
          <w:tcPr>
            <w:tcW w:type="dxa" w:w="4320"/>
          </w:tcPr>
          <w:p>
            <w:r>
              <w:t>settings</w:t>
            </w:r>
          </w:p>
        </w:tc>
        <w:tc>
          <w:tcPr>
            <w:tcW w:type="dxa" w:w="4320"/>
          </w:tcPr>
          <w:p>
            <w:r>
              <w:t>settings_1007, settings_24007, settings_36573, settings_55800</w:t>
            </w:r>
          </w:p>
        </w:tc>
      </w:tr>
      <w:tr>
        <w:tc>
          <w:tcPr>
            <w:tcW w:type="dxa" w:w="4320"/>
          </w:tcPr>
          <w:p>
            <w:r>
              <w:t>welcome</w:t>
            </w:r>
          </w:p>
        </w:tc>
        <w:tc>
          <w:tcPr>
            <w:tcW w:type="dxa" w:w="4320"/>
          </w:tcPr>
          <w:p>
            <w:r>
              <w:t>welcome_10216, welcome_3579, welcome_48138, welcome_61424</w:t>
            </w:r>
          </w:p>
        </w:tc>
      </w:tr>
    </w:tbl>
    <w:p>
      <w:pPr>
        <w:pStyle w:val="Heading2"/>
      </w:pPr>
      <w:r>
        <w:t>4. Auto-run snapshot (14 Jul 2026)</w:t>
      </w:r>
    </w:p>
    <w:p>
      <w:r>
        <w:t xml:space="preserve">Pre-filled by running </w:t>
      </w:r>
      <w:r>
        <w:rPr>
          <w:rFonts w:ascii="Consolas" w:hAnsi="Consolas"/>
        </w:rPr>
        <w:t>check()</w:t>
      </w:r>
      <w:r>
        <w:t xml:space="preserve"> on the 40 parsed files: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Screens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Screens with ≥1 violation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Screens with score 100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Screens with R30 hits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Screens with R26–R29 hits</w:t>
            </w:r>
          </w:p>
        </w:tc>
        <w:tc>
          <w:tcPr>
            <w:tcW w:type="dxa" w:w="4320"/>
          </w:tcPr>
          <w:p>
            <w:r>
              <w:t>**0** on this sample (expected — see design doc)</w:t>
            </w:r>
          </w:p>
        </w:tc>
      </w:tr>
    </w:tbl>
    <w:p>
      <w:r>
        <w:t xml:space="preserve">Dominant auto rules on this sample: </w:t>
      </w:r>
      <w:r>
        <w:rPr>
          <w:b/>
        </w:rPr>
        <w:t>R01, R08, R18, R15, R02, R30</w:t>
      </w:r>
      <w:r>
        <w:t>.</w:t>
      </w:r>
    </w:p>
    <w:p>
      <w:pPr>
        <w:pStyle w:val="Heading2"/>
      </w:pPr>
      <w:r>
        <w:t>5. Manual review protocol</w:t>
      </w:r>
    </w:p>
    <w:p>
      <w:r>
        <w:t xml:space="preserve">1. Open screenshot (if available under </w:t>
      </w:r>
      <w:r>
        <w:rPr>
          <w:rFonts w:ascii="Consolas" w:hAnsi="Consolas"/>
        </w:rPr>
        <w:t>data/data-masc/screenshots/{category}/{id}.jpg</w:t>
      </w:r>
      <w:r>
        <w:t>)</w:t>
      </w:r>
    </w:p>
    <w:p>
      <w:r>
        <w:t xml:space="preserve">2. Open matching XML or </w:t>
      </w:r>
      <w:r>
        <w:rPr>
          <w:rFonts w:ascii="Consolas" w:hAnsi="Consolas"/>
        </w:rPr>
        <w:t>*_components.json</w:t>
      </w:r>
    </w:p>
    <w:p>
      <w:r>
        <w:t xml:space="preserve">3. Spot-check </w:t>
      </w:r>
      <w:r>
        <w:rPr>
          <w:b/>
        </w:rPr>
        <w:t>up to 10</w:t>
      </w:r>
      <w:r>
        <w:t xml:space="preserve"> violations (prefer High severity)</w:t>
      </w:r>
    </w:p>
    <w:p>
      <w:r>
        <w:t>4. Mark verdict + notes in CSV</w:t>
      </w:r>
    </w:p>
    <w:p>
      <w:r>
        <w:t>5. If R26–R30 appear, cross-check against [</w:t>
      </w:r>
      <w:r>
        <w:rPr>
          <w:rFonts w:ascii="Consolas" w:hAnsi="Consolas"/>
        </w:rPr>
        <w:t>r26_r30_design.md</w:t>
      </w:r>
      <w:r>
        <w:t>](r26_r30_design.md)</w:t>
      </w:r>
    </w:p>
    <w:p>
      <w:r>
        <w:t xml:space="preserve">Target: finish </w:t>
      </w:r>
      <w:r>
        <w:rPr>
          <w:b/>
        </w:rPr>
        <w:t>≥ 25</w:t>
      </w:r>
      <w:r>
        <w:t xml:space="preserve"> screens with manual verdicts for Week 6 demo.</w:t>
      </w:r>
    </w:p>
    <w:p>
      <w:pPr>
        <w:pStyle w:val="Heading2"/>
      </w:pPr>
      <w:r>
        <w:t>6. Acceptance (Week 6)</w:t>
      </w:r>
    </w:p>
    <w:p>
      <w:pPr>
        <w:pStyle w:val="ListBullet"/>
      </w:pPr>
      <w:r>
        <w:t xml:space="preserve">[ ] CSV has ≥ 25 rows with non-empty </w:t>
      </w:r>
      <w:r>
        <w:rPr>
          <w:rFonts w:ascii="Consolas" w:hAnsi="Consolas"/>
        </w:rPr>
        <w:t>manual_verdict</w:t>
      </w:r>
    </w:p>
    <w:p>
      <w:pPr>
        <w:pStyle w:val="ListBullet"/>
      </w:pPr>
      <w:r>
        <w:t>[ ] Short summary of FP/FN themes (add below when done)</w:t>
      </w:r>
    </w:p>
    <w:p>
      <w:pPr>
        <w:pStyle w:val="ListBullet"/>
      </w:pPr>
      <w:r>
        <w:t>[ ] R26–R30 design doc reviewed and linked from progress report</w:t>
      </w:r>
    </w:p>
    <w:p>
      <w:pPr>
        <w:pStyle w:val="Heading3"/>
      </w:pPr>
      <w:r>
        <w:t>Summary notes (fill after review)</w:t>
      </w:r>
    </w:p>
    <w:p>
      <w:r>
        <w:t>_FP themes:_</w:t>
      </w:r>
    </w:p>
    <w:p>
      <w:r>
        <w:t>_FN themes:_</w:t>
      </w:r>
    </w:p>
    <w:p>
      <w:r>
        <w:t>_Rules to tighten next:_</w:t>
      </w:r>
    </w:p>
    <w:p>
      <w:r>
        <w:rPr>
          <w:b/>
        </w:rPr>
        <w:t>— End of evaluation sheet guide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