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R26–R30 Design &amp; Review Doc (Week 6)</w:t>
      </w:r>
    </w:p>
    <w:p>
      <w:r>
        <w:rPr>
          <w:b/>
        </w:rPr>
        <w:t>Owner / lead:</w:t>
      </w:r>
      <w:r>
        <w:t xml:space="preserve"> Muhammad Noor</w:t>
      </w:r>
    </w:p>
    <w:p>
      <w:r>
        <w:rPr>
          <w:b/>
        </w:rPr>
        <w:t>Reviewers:</w:t>
      </w:r>
      <w:r>
        <w:t xml:space="preserve"> Ayesha (guidelines), Salar (rules)</w:t>
      </w:r>
    </w:p>
    <w:p>
      <w:r>
        <w:rPr>
          <w:b/>
        </w:rPr>
        <w:t>Date:</w:t>
      </w:r>
      <w:r>
        <w:t xml:space="preserve"> 14 July 2026</w:t>
      </w:r>
    </w:p>
    <w:p>
      <w:r>
        <w:rPr>
          <w:b/>
        </w:rPr>
        <w:t>Status:</w:t>
      </w:r>
      <w:r>
        <w:t xml:space="preserve"> Implemented in </w:t>
      </w:r>
      <w:r>
        <w:rPr>
          <w:rFonts w:ascii="Consolas" w:hAnsi="Consolas"/>
        </w:rPr>
        <w:t>src/rules.py</w:t>
      </w:r>
      <w:r>
        <w:t xml:space="preserve"> + fixtures; design reviewed for Week 6</w:t>
      </w:r>
    </w:p>
    <w:p>
      <w:r>
        <w:rPr>
          <w:b/>
        </w:rPr>
        <w:t>Related:</w:t>
      </w:r>
      <w:r>
        <w:t xml:space="preserve"> G26–G30 in </w:t>
      </w:r>
      <w:r>
        <w:rPr>
          <w:rFonts w:ascii="Consolas" w:hAnsi="Consolas"/>
        </w:rPr>
        <w:t>src/guidelines.py</w:t>
      </w:r>
    </w:p>
    <w:p>
      <w:pPr>
        <w:pStyle w:val="Heading2"/>
      </w:pPr>
      <w:r>
        <w:t>1. Purpose</w:t>
      </w:r>
    </w:p>
    <w:p>
      <w:r>
        <w:t xml:space="preserve">Week 6 plan: </w:t>
      </w:r>
      <w:r>
        <w:rPr>
          <w:i/>
        </w:rPr>
        <w:t>lead R26–R30 design and review</w:t>
      </w:r>
      <w:r>
        <w:t xml:space="preserve"> → this document.</w:t>
      </w:r>
    </w:p>
    <w:p>
      <w:r>
        <w:t>R26–R30 are already coded (Week 4–5). This doc captures:</w:t>
      </w:r>
    </w:p>
    <w:p>
      <w:pPr>
        <w:pStyle w:val="ListBullet"/>
      </w:pPr>
      <w:r>
        <w:t>Detection design per rule</w:t>
      </w:r>
    </w:p>
    <w:p>
      <w:pPr>
        <w:pStyle w:val="ListBullet"/>
      </w:pPr>
      <w:r>
        <w:t>Fixture coverage</w:t>
      </w:r>
    </w:p>
    <w:p>
      <w:pPr>
        <w:pStyle w:val="ListBullet"/>
      </w:pPr>
      <w:r>
        <w:t>Known gaps on MASC</w:t>
      </w:r>
    </w:p>
    <w:p>
      <w:pPr>
        <w:pStyle w:val="ListBullet"/>
      </w:pPr>
      <w:r>
        <w:t>Review checklist for teammates</w:t>
      </w:r>
    </w:p>
    <w:p>
      <w:pPr>
        <w:pStyle w:val="Heading2"/>
      </w:pPr>
      <w:r>
        <w:t>2. Mapping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Guideline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Fixtures</w:t>
            </w:r>
          </w:p>
        </w:tc>
        <w:tc>
          <w:tcPr>
            <w:tcW w:type="dxa" w:w="1728"/>
          </w:tcPr>
          <w:p>
            <w:r>
              <w:t>MASC signal</w:t>
            </w:r>
          </w:p>
        </w:tc>
      </w:tr>
      <w:tr>
        <w:tc>
          <w:tcPr>
            <w:tcW w:type="dxa" w:w="1728"/>
          </w:tcPr>
          <w:p>
            <w:r>
              <w:t>**R26**</w:t>
            </w:r>
          </w:p>
        </w:tc>
        <w:tc>
          <w:tcPr>
            <w:tcW w:type="dxa" w:w="1728"/>
          </w:tcPr>
          <w:p>
            <w:r>
              <w:t>G26 — Session timeout warning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`r26_no_timeout_warning_{pass,fail}.xml`</w:t>
            </w:r>
          </w:p>
        </w:tc>
        <w:tc>
          <w:tcPr>
            <w:tcW w:type="dxa" w:w="1728"/>
          </w:tcPr>
          <w:p>
            <w:r>
              <w:t>Rare (needs timeout wording)</w:t>
            </w:r>
          </w:p>
        </w:tc>
      </w:tr>
      <w:tr>
        <w:tc>
          <w:tcPr>
            <w:tcW w:type="dxa" w:w="1728"/>
          </w:tcPr>
          <w:p>
            <w:r>
              <w:t>**R27**</w:t>
            </w:r>
          </w:p>
        </w:tc>
        <w:tc>
          <w:tcPr>
            <w:tcW w:type="dxa" w:w="1728"/>
          </w:tcPr>
          <w:p>
            <w:r>
              <w:t>G27 — Complex / jargon labels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`r27_complex_label_{pass,fail}.xml`</w:t>
            </w:r>
          </w:p>
        </w:tc>
        <w:tc>
          <w:tcPr>
            <w:tcW w:type="dxa" w:w="1728"/>
          </w:tcPr>
          <w:p>
            <w:r>
              <w:t>Rare (long avg word length)</w:t>
            </w:r>
          </w:p>
        </w:tc>
      </w:tr>
      <w:tr>
        <w:tc>
          <w:tcPr>
            <w:tcW w:type="dxa" w:w="1728"/>
          </w:tcPr>
          <w:p>
            <w:r>
              <w:t>**R28**</w:t>
            </w:r>
          </w:p>
        </w:tc>
        <w:tc>
          <w:tcPr>
            <w:tcW w:type="dxa" w:w="1728"/>
          </w:tcPr>
          <w:p>
            <w:r>
              <w:t>G28 — Font scale (200%)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*(logic present; MASC lacks `text_size_sp`)*</w:t>
            </w:r>
          </w:p>
        </w:tc>
        <w:tc>
          <w:tcPr>
            <w:tcW w:type="dxa" w:w="1728"/>
          </w:tcPr>
          <w:p>
            <w:r>
              <w:t>**0 hits** without declared text size</w:t>
            </w:r>
          </w:p>
        </w:tc>
      </w:tr>
      <w:tr>
        <w:tc>
          <w:tcPr>
            <w:tcW w:type="dxa" w:w="1728"/>
          </w:tcPr>
          <w:p>
            <w:r>
              <w:t>**R29**</w:t>
            </w:r>
          </w:p>
        </w:tc>
        <w:tc>
          <w:tcPr>
            <w:tcW w:type="dxa" w:w="1728"/>
          </w:tcPr>
          <w:p>
            <w:r>
              <w:t>G29 — All-caps body text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`r29_all_caps_{pass,fail}.xml`</w:t>
            </w:r>
          </w:p>
        </w:tc>
        <w:tc>
          <w:tcPr>
            <w:tcW w:type="dxa" w:w="1728"/>
          </w:tcPr>
          <w:p>
            <w:r>
              <w:t>Sparse</w:t>
            </w:r>
          </w:p>
        </w:tc>
      </w:tr>
      <w:tr>
        <w:tc>
          <w:tcPr>
            <w:tcW w:type="dxa" w:w="1728"/>
          </w:tcPr>
          <w:p>
            <w:r>
              <w:t>**R30**</w:t>
            </w:r>
          </w:p>
        </w:tc>
        <w:tc>
          <w:tcPr>
            <w:tcW w:type="dxa" w:w="1728"/>
          </w:tcPr>
          <w:p>
            <w:r>
              <w:t>G30 — Icon-only, no label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`r30_icon_only_{pass,fail}.xml`</w:t>
            </w:r>
          </w:p>
        </w:tc>
        <w:tc>
          <w:tcPr>
            <w:tcW w:type="dxa" w:w="1728"/>
          </w:tcPr>
          <w:p>
            <w:r>
              <w:t>**Active** on MASC (sample: 8/40 screens)</w:t>
            </w:r>
          </w:p>
        </w:tc>
      </w:tr>
    </w:tbl>
    <w:p>
      <w:pPr>
        <w:pStyle w:val="Heading2"/>
      </w:pPr>
      <w:r>
        <w:t>3. Per-rule design</w:t>
      </w:r>
    </w:p>
    <w:p>
      <w:pPr>
        <w:pStyle w:val="Heading3"/>
      </w:pPr>
      <w:r>
        <w:t>R26 — No session timeout warning (`check_no_timeout_warning`)</w:t>
      </w:r>
    </w:p>
    <w:p>
      <w:r>
        <w:rPr>
          <w:b/>
        </w:rPr>
        <w:t>Detects:</w:t>
      </w:r>
      <w:r>
        <w:t xml:space="preserve"> Components whose text looks like a session/countdown message, when the screen has </w:t>
      </w:r>
      <w:r>
        <w:rPr>
          <w:b/>
        </w:rPr>
        <w:t>no</w:t>
      </w:r>
      <w:r>
        <w:t xml:space="preserve"> enabled Extend / OK control.</w:t>
      </w:r>
    </w:p>
    <w:p>
      <w:r>
        <w:rPr>
          <w:b/>
        </w:rPr>
        <w:t>Design choices:</w:t>
      </w:r>
    </w:p>
    <w:p>
      <w:pPr>
        <w:pStyle w:val="ListBullet"/>
      </w:pPr>
      <w:r>
        <w:t xml:space="preserve">Gates on </w:t>
      </w:r>
      <w:r>
        <w:rPr>
          <w:rFonts w:ascii="Consolas" w:hAnsi="Consolas"/>
        </w:rPr>
        <w:t>SESSION_TOKENS</w:t>
      </w:r>
      <w:r>
        <w:t xml:space="preserve"> (timeout / session / expires / countdown wording)</w:t>
      </w:r>
    </w:p>
    <w:p>
      <w:pPr>
        <w:pStyle w:val="ListBullet"/>
      </w:pPr>
      <w:r>
        <w:t xml:space="preserve">Does </w:t>
      </w:r>
      <w:r>
        <w:rPr>
          <w:b/>
        </w:rPr>
        <w:t>not</w:t>
      </w:r>
      <w:r>
        <w:t xml:space="preserve"> flag every Dialog (avoids colliding with R19 delete-confirm dialogs)</w:t>
      </w:r>
    </w:p>
    <w:p>
      <w:pPr>
        <w:pStyle w:val="ListBullet"/>
      </w:pPr>
      <w:r>
        <w:t xml:space="preserve">Extend/OK sought via </w:t>
      </w:r>
      <w:r>
        <w:rPr>
          <w:rFonts w:ascii="Consolas" w:hAnsi="Consolas"/>
        </w:rPr>
        <w:t>EXTEND_SESSION_TOKENS</w:t>
      </w:r>
      <w:r>
        <w:t xml:space="preserve"> + enabled clickable controls</w:t>
      </w:r>
    </w:p>
    <w:p>
      <w:r>
        <w:rPr>
          <w:b/>
        </w:rPr>
        <w:t>False-positive risk:</w:t>
      </w:r>
      <w:r>
        <w:t xml:space="preserve"> Medium — token lists may miss localized apps; may miss timers that are icon-only.</w:t>
      </w:r>
    </w:p>
    <w:p>
      <w:r>
        <w:rPr>
          <w:b/>
        </w:rPr>
        <w:t>Review status:</w:t>
      </w:r>
      <w:r>
        <w:t xml:space="preserve"> ✅ Logic + fixtures; re-check if product apps use custom session UI without keywords.</w:t>
      </w:r>
    </w:p>
    <w:p>
      <w:pPr>
        <w:pStyle w:val="Heading3"/>
      </w:pPr>
      <w:r>
        <w:t>R27 — Complex label language (`check_complex_label_language`)</w:t>
      </w:r>
    </w:p>
    <w:p>
      <w:r>
        <w:rPr>
          <w:b/>
        </w:rPr>
        <w:t>Detects:</w:t>
      </w:r>
      <w:r>
        <w:t xml:space="preserve"> </w:t>
      </w:r>
      <w:r>
        <w:rPr>
          <w:rFonts w:ascii="Consolas" w:hAnsi="Consolas"/>
        </w:rPr>
        <w:t>content_desc</w:t>
      </w:r>
      <w:r>
        <w:t xml:space="preserve"> or </w:t>
      </w:r>
      <w:r>
        <w:rPr>
          <w:rFonts w:ascii="Consolas" w:hAnsi="Consolas"/>
        </w:rPr>
        <w:t>hint</w:t>
      </w:r>
      <w:r>
        <w:t xml:space="preserve"> with many words </w:t>
      </w:r>
      <w:r>
        <w:rPr>
          <w:b/>
        </w:rPr>
        <w:t>and</w:t>
      </w:r>
      <w:r>
        <w:t xml:space="preserve"> high average word length (jargon heuristic).</w:t>
      </w:r>
    </w:p>
    <w:p>
      <w:r>
        <w:rPr>
          <w:b/>
        </w:rPr>
        <w:t>Design choices:</w:t>
      </w:r>
    </w:p>
    <w:p>
      <w:pPr>
        <w:pStyle w:val="ListBullet"/>
      </w:pPr>
      <w:r>
        <w:t xml:space="preserve">Thresholds: </w:t>
      </w:r>
      <w:r>
        <w:rPr>
          <w:rFonts w:ascii="Consolas" w:hAnsi="Consolas"/>
        </w:rPr>
        <w:t>COMPLEX_LABEL_MIN_WORDS</w:t>
      </w:r>
      <w:r>
        <w:t xml:space="preserve">, </w:t>
      </w:r>
      <w:r>
        <w:rPr>
          <w:rFonts w:ascii="Consolas" w:hAnsi="Consolas"/>
        </w:rPr>
        <w:t>COMPLEX_LABEL_AVG_WORD_CHARS</w:t>
      </w:r>
      <w:r>
        <w:t xml:space="preserve"> in </w:t>
      </w:r>
      <w:r>
        <w:rPr>
          <w:rFonts w:ascii="Consolas" w:hAnsi="Consolas"/>
        </w:rPr>
        <w:t>rules.py</w:t>
      </w:r>
    </w:p>
    <w:p>
      <w:pPr>
        <w:pStyle w:val="ListBullet"/>
      </w:pPr>
      <w:r>
        <w:t>Flags a component at most once even if both fields qualify</w:t>
      </w:r>
    </w:p>
    <w:p>
      <w:r>
        <w:rPr>
          <w:b/>
        </w:rPr>
        <w:t>False-positive risk:</w:t>
      </w:r>
      <w:r>
        <w:t xml:space="preserve"> Medium — technical product names can look “jargon-heavy.”</w:t>
      </w:r>
    </w:p>
    <w:p>
      <w:r>
        <w:rPr>
          <w:b/>
        </w:rPr>
        <w:t>Review status:</w:t>
      </w:r>
      <w:r>
        <w:t xml:space="preserve"> ✅ Fixtures pass; severity Low is intentional.</w:t>
      </w:r>
    </w:p>
    <w:p>
      <w:pPr>
        <w:pStyle w:val="Heading3"/>
      </w:pPr>
      <w:r>
        <w:t>R28 — Font scale overflow (`check_font_scale_overflow`)</w:t>
      </w:r>
    </w:p>
    <w:p>
      <w:r>
        <w:rPr>
          <w:b/>
        </w:rPr>
        <w:t>Detects:</w:t>
      </w:r>
      <w:r>
        <w:t xml:space="preserve"> TextViews whose declared </w:t>
      </w:r>
      <w:r>
        <w:rPr>
          <w:rFonts w:ascii="Consolas" w:hAnsi="Consolas"/>
        </w:rPr>
        <w:t>text_size_sp</w:t>
      </w:r>
      <w:r>
        <w:t xml:space="preserve"> would not fit bounds height at ~200% system font scale (G28 / WCAG 1.4.4).</w:t>
      </w:r>
    </w:p>
    <w:p>
      <w:r>
        <w:rPr>
          <w:b/>
        </w:rPr>
        <w:t>Design choices:</w:t>
      </w:r>
    </w:p>
    <w:p>
      <w:pPr>
        <w:pStyle w:val="ListBullet"/>
      </w:pPr>
      <w:r>
        <w:t xml:space="preserve">Uses parser field </w:t>
      </w:r>
      <w:r>
        <w:rPr>
          <w:rFonts w:ascii="Consolas" w:hAnsi="Consolas"/>
        </w:rPr>
        <w:t>text_size_sp</w:t>
      </w:r>
      <w:r>
        <w:t xml:space="preserve"> (from </w:t>
      </w:r>
      <w:r>
        <w:rPr>
          <w:rFonts w:ascii="Consolas" w:hAnsi="Consolas"/>
        </w:rPr>
        <w:t>android:textSize</w:t>
      </w:r>
      <w:r>
        <w:t xml:space="preserve"> / similar attrs)</w:t>
      </w:r>
    </w:p>
    <w:p>
      <w:pPr>
        <w:pStyle w:val="ListBullet"/>
      </w:pPr>
      <w:r>
        <w:t xml:space="preserve">Formula: </w:t>
      </w:r>
      <w:r>
        <w:rPr>
          <w:rFonts w:ascii="Consolas" w:hAnsi="Consolas"/>
        </w:rPr>
        <w:t>required_height ≈ text_size_px * 1.2 * 2.0</w:t>
      </w:r>
    </w:p>
    <w:p>
      <w:r>
        <w:rPr>
          <w:b/>
        </w:rPr>
        <w:t>MASC gap:</w:t>
      </w:r>
      <w:r>
        <w:t xml:space="preserve"> UIAutomator / MASC dumps typically </w:t>
      </w:r>
      <w:r>
        <w:rPr>
          <w:b/>
        </w:rPr>
        <w:t>do not</w:t>
      </w:r>
      <w:r>
        <w:t xml:space="preserve"> carry declared text size → rule correctly returns </w:t>
      </w:r>
      <w:r>
        <w:rPr>
          <w:rFonts w:ascii="Consolas" w:hAnsi="Consolas"/>
        </w:rPr>
        <w:t>[]</w:t>
      </w:r>
      <w:r>
        <w:t xml:space="preserve"> on current corpus.</w:t>
      </w:r>
    </w:p>
    <w:p>
      <w:r>
        <w:rPr>
          <w:b/>
        </w:rPr>
        <w:t>Review status:</w:t>
      </w:r>
      <w:r>
        <w:t xml:space="preserve"> ✅ Correct for attribute-rich dumps; </w:t>
      </w:r>
      <w:r>
        <w:rPr>
          <w:b/>
        </w:rPr>
        <w:t>stretch</w:t>
      </w:r>
      <w:r>
        <w:t xml:space="preserve"> would add CV/OCR for size estimation. Documented limitation — do not treat “0 on MASC” as a bug.</w:t>
      </w:r>
    </w:p>
    <w:p>
      <w:pPr>
        <w:pStyle w:val="Heading3"/>
      </w:pPr>
      <w:r>
        <w:t>R29 — All-caps body text (`check_all_caps_body_text`)</w:t>
      </w:r>
    </w:p>
    <w:p>
      <w:r>
        <w:rPr>
          <w:b/>
        </w:rPr>
        <w:t>Detects:</w:t>
      </w:r>
      <w:r>
        <w:t xml:space="preserve"> </w:t>
      </w:r>
      <w:r>
        <w:rPr>
          <w:rFonts w:ascii="Consolas" w:hAnsi="Consolas"/>
        </w:rPr>
        <w:t>textAllCaps</w:t>
      </w:r>
      <w:r>
        <w:t xml:space="preserve"> (or all-caps text) longer than a short label (&gt; 3 words).</w:t>
      </w:r>
    </w:p>
    <w:p>
      <w:r>
        <w:rPr>
          <w:b/>
        </w:rPr>
        <w:t>Design choices:</w:t>
      </w:r>
    </w:p>
    <w:p>
      <w:pPr>
        <w:pStyle w:val="ListBullet"/>
      </w:pPr>
      <w:r>
        <w:t>Short ALL-CAPS labels (e.g. “OK”, “NEXT”) allowed</w:t>
      </w:r>
    </w:p>
    <w:p>
      <w:pPr>
        <w:pStyle w:val="ListBullet"/>
      </w:pPr>
      <w:r>
        <w:t>Longer instructional/body strings flagged (G29 / cognitive load)</w:t>
      </w:r>
    </w:p>
    <w:p>
      <w:r>
        <w:rPr>
          <w:b/>
        </w:rPr>
        <w:t>Review status:</w:t>
      </w:r>
      <w:r>
        <w:t xml:space="preserve"> ✅ Fixtures present; Low severity.</w:t>
      </w:r>
    </w:p>
    <w:p>
      <w:pPr>
        <w:pStyle w:val="Heading3"/>
      </w:pPr>
      <w:r>
        <w:t>R30 — Icon-only button, no label (`check_icon_only_no_label`)</w:t>
      </w:r>
    </w:p>
    <w:p>
      <w:r>
        <w:rPr>
          <w:b/>
        </w:rPr>
        <w:t>Detects:</w:t>
      </w:r>
      <w:r>
        <w:t xml:space="preserve"> Clickable icon-like elements with empty </w:t>
      </w:r>
      <w:r>
        <w:rPr>
          <w:rFonts w:ascii="Consolas" w:hAnsi="Consolas"/>
        </w:rPr>
        <w:t>text</w:t>
      </w:r>
      <w:r>
        <w:t xml:space="preserve"> </w:t>
      </w:r>
      <w:r>
        <w:rPr>
          <w:b/>
        </w:rPr>
        <w:t>and</w:t>
      </w:r>
      <w:r>
        <w:t xml:space="preserve"> empty </w:t>
      </w:r>
      <w:r>
        <w:rPr>
          <w:rFonts w:ascii="Consolas" w:hAnsi="Consolas"/>
        </w:rPr>
        <w:t>content_desc</w:t>
      </w:r>
      <w:r>
        <w:t>.</w:t>
      </w:r>
    </w:p>
    <w:p>
      <w:r>
        <w:rPr>
          <w:b/>
        </w:rPr>
        <w:t>Overlaps R01:</w:t>
      </w:r>
      <w:r>
        <w:t xml:space="preserve"> R01 is broader (any clickable missing label). R30 specializes icon-only / ImageButton-style cases aligned to G30.</w:t>
      </w:r>
    </w:p>
    <w:p>
      <w:r>
        <w:rPr>
          <w:b/>
        </w:rPr>
        <w:t>MASC:</w:t>
      </w:r>
      <w:r>
        <w:t xml:space="preserve"> Frequently fires (Week 6 sample had R30 on list/maps/menu/profile/search/welcome screens).</w:t>
      </w:r>
    </w:p>
    <w:p>
      <w:r>
        <w:rPr>
          <w:b/>
        </w:rPr>
        <w:t>Review status:</w:t>
      </w:r>
      <w:r>
        <w:t xml:space="preserve"> ✅ High priority for demos; watch double-counting with R01 in reports (acceptable — different guideline emphasis).</w:t>
      </w:r>
    </w:p>
    <w:p>
      <w:pPr>
        <w:pStyle w:val="Heading2"/>
      </w:pPr>
      <w:r>
        <w:t>4. Test &amp; fixture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Pass fixture</w:t>
            </w:r>
          </w:p>
        </w:tc>
        <w:tc>
          <w:tcPr>
            <w:tcW w:type="dxa" w:w="2160"/>
          </w:tcPr>
          <w:p>
            <w:r>
              <w:t>Fail fixture</w:t>
            </w:r>
          </w:p>
        </w:tc>
        <w:tc>
          <w:tcPr>
            <w:tcW w:type="dxa" w:w="2160"/>
          </w:tcPr>
          <w:p>
            <w:r>
              <w:t>pytest</w:t>
            </w:r>
          </w:p>
        </w:tc>
      </w:tr>
      <w:tr>
        <w:tc>
          <w:tcPr>
            <w:tcW w:type="dxa" w:w="2160"/>
          </w:tcPr>
          <w:p>
            <w:r>
              <w:t>R26</w:t>
            </w:r>
          </w:p>
        </w:tc>
        <w:tc>
          <w:tcPr>
            <w:tcW w:type="dxa" w:w="2160"/>
          </w:tcPr>
          <w:p>
            <w:r>
              <w:t>`r26_no_timeout_warning_pass.xml`</w:t>
            </w:r>
          </w:p>
        </w:tc>
        <w:tc>
          <w:tcPr>
            <w:tcW w:type="dxa" w:w="2160"/>
          </w:tcPr>
          <w:p>
            <w:r>
              <w:t>`r26_no_timeout_warning_fail.xml`</w:t>
            </w:r>
          </w:p>
        </w:tc>
        <w:tc>
          <w:tcPr>
            <w:tcW w:type="dxa" w:w="2160"/>
          </w:tcPr>
          <w:p>
            <w:r>
              <w:t>`tests/test_rules.py`</w:t>
            </w:r>
          </w:p>
        </w:tc>
      </w:tr>
      <w:tr>
        <w:tc>
          <w:tcPr>
            <w:tcW w:type="dxa" w:w="2160"/>
          </w:tcPr>
          <w:p>
            <w:r>
              <w:t>R27</w:t>
            </w:r>
          </w:p>
        </w:tc>
        <w:tc>
          <w:tcPr>
            <w:tcW w:type="dxa" w:w="2160"/>
          </w:tcPr>
          <w:p>
            <w:r>
              <w:t>`r27_complex_label_pass.xml`</w:t>
            </w:r>
          </w:p>
        </w:tc>
        <w:tc>
          <w:tcPr>
            <w:tcW w:type="dxa" w:w="2160"/>
          </w:tcPr>
          <w:p>
            <w:r>
              <w:t>`r27_complex_label_fail.xml`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</w:tr>
      <w:tr>
        <w:tc>
          <w:tcPr>
            <w:tcW w:type="dxa" w:w="2160"/>
          </w:tcPr>
          <w:p>
            <w:r>
              <w:t>R28</w:t>
            </w:r>
          </w:p>
        </w:tc>
        <w:tc>
          <w:tcPr>
            <w:tcW w:type="dxa" w:w="2160"/>
          </w:tcPr>
          <w:p>
            <w:r>
              <w:t>*(attribute-dependent)*</w:t>
            </w:r>
          </w:p>
        </w:tc>
        <w:tc>
          <w:tcPr>
            <w:tcW w:type="dxa" w:w="2160"/>
          </w:tcPr>
          <w:p>
            <w:r>
              <w:t>*(attribute-dependent)*</w:t>
            </w:r>
          </w:p>
        </w:tc>
        <w:tc>
          <w:tcPr>
            <w:tcW w:type="dxa" w:w="2160"/>
          </w:tcPr>
          <w:p>
            <w:r>
              <w:t>covered when `text_size_sp` present</w:t>
            </w:r>
          </w:p>
        </w:tc>
      </w:tr>
      <w:tr>
        <w:tc>
          <w:tcPr>
            <w:tcW w:type="dxa" w:w="2160"/>
          </w:tcPr>
          <w:p>
            <w:r>
              <w:t>R29</w:t>
            </w:r>
          </w:p>
        </w:tc>
        <w:tc>
          <w:tcPr>
            <w:tcW w:type="dxa" w:w="2160"/>
          </w:tcPr>
          <w:p>
            <w:r>
              <w:t>`r29_all_caps_pass.xml`</w:t>
            </w:r>
          </w:p>
        </w:tc>
        <w:tc>
          <w:tcPr>
            <w:tcW w:type="dxa" w:w="2160"/>
          </w:tcPr>
          <w:p>
            <w:r>
              <w:t>`r29_all_caps_fail.xml`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</w:tr>
      <w:tr>
        <w:tc>
          <w:tcPr>
            <w:tcW w:type="dxa" w:w="2160"/>
          </w:tcPr>
          <w:p>
            <w:r>
              <w:t>R30</w:t>
            </w:r>
          </w:p>
        </w:tc>
        <w:tc>
          <w:tcPr>
            <w:tcW w:type="dxa" w:w="2160"/>
          </w:tcPr>
          <w:p>
            <w:r>
              <w:t>`r30_icon_only_pass.xml`</w:t>
            </w:r>
          </w:p>
        </w:tc>
        <w:tc>
          <w:tcPr>
            <w:tcW w:type="dxa" w:w="2160"/>
          </w:tcPr>
          <w:p>
            <w:r>
              <w:t>`r30_icon_only_fail.xml`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</w:tr>
    </w:tbl>
    <w:p>
      <w:r>
        <w:t>Run focused tests:</w:t>
      </w:r>
    </w:p>
    <w:p>
      <w:r>
        <w:rPr>
          <w:rFonts w:ascii="Consolas" w:hAnsi="Consolas"/>
          <w:sz w:val="18"/>
        </w:rPr>
        <w:t>pytest tests/test_rules.py -k "r26 or r27 or r28 or r29 or r30" -q</w:t>
      </w:r>
    </w:p>
    <w:p>
      <w:pPr>
        <w:pStyle w:val="Heading2"/>
      </w:pPr>
      <w:r>
        <w:t>5. Agent / report wiring</w:t>
      </w:r>
    </w:p>
    <w:p>
      <w:pPr>
        <w:pStyle w:val="ListBullet"/>
      </w:pPr>
      <w:r>
        <w:t xml:space="preserve">Violations flow through </w:t>
      </w:r>
      <w:r>
        <w:rPr>
          <w:rFonts w:ascii="Consolas" w:hAnsi="Consolas"/>
        </w:rPr>
        <w:t>agent.py</w:t>
      </w:r>
      <w:r>
        <w:t xml:space="preserve"> → </w:t>
      </w:r>
      <w:r>
        <w:rPr>
          <w:rFonts w:ascii="Consolas" w:hAnsi="Consolas"/>
        </w:rPr>
        <w:t>accessibility_score</w:t>
      </w:r>
      <w:r>
        <w:t xml:space="preserve"> + agent fields</w:t>
      </w:r>
    </w:p>
    <w:p>
      <w:pPr>
        <w:pStyle w:val="ListBullet"/>
      </w:pPr>
      <w:r>
        <w:t xml:space="preserve">Guidelines for prompts: </w:t>
      </w:r>
      <w:r>
        <w:rPr>
          <w:rFonts w:ascii="Consolas" w:hAnsi="Consolas"/>
        </w:rPr>
        <w:t>RULE_GUIDELINES</w:t>
      </w:r>
      <w:r>
        <w:t xml:space="preserve"> / </w:t>
      </w:r>
      <w:r>
        <w:rPr>
          <w:rFonts w:ascii="Consolas" w:hAnsi="Consolas"/>
        </w:rPr>
        <w:t>RULE_DETECTION_LOGIC</w:t>
      </w:r>
      <w:r>
        <w:t xml:space="preserve"> in </w:t>
      </w:r>
      <w:r>
        <w:rPr>
          <w:rFonts w:ascii="Consolas" w:hAnsi="Consolas"/>
        </w:rPr>
        <w:t>guidelines.py</w:t>
      </w:r>
    </w:p>
    <w:p>
      <w:pPr>
        <w:pStyle w:val="ListBullet"/>
      </w:pPr>
      <w:r>
        <w:t xml:space="preserve">R26–R30 explanations use the same anti-hallucination path in </w:t>
      </w:r>
      <w:r>
        <w:rPr>
          <w:rFonts w:ascii="Consolas" w:hAnsi="Consolas"/>
        </w:rPr>
        <w:t>explainer.py</w:t>
      </w:r>
    </w:p>
    <w:p>
      <w:r>
        <w:t>No separate training required for R26–R30 detection (deterministic rules).</w:t>
      </w:r>
    </w:p>
    <w:p>
      <w:pPr>
        <w:pStyle w:val="Heading2"/>
      </w:pPr>
      <w:r>
        <w:t>6. Review checklist (Ayesha / Salar)</w:t>
      </w:r>
    </w:p>
    <w:p>
      <w:pPr>
        <w:pStyle w:val="ListBullet"/>
      </w:pPr>
      <w:r>
        <w:t>[ ] Agree R26 token lists are acceptable for MVP</w:t>
      </w:r>
    </w:p>
    <w:p>
      <w:pPr>
        <w:pStyle w:val="ListBullet"/>
      </w:pPr>
      <w:r>
        <w:t>[ ] Confirm R27 thresholds are not too aggressive on real labels</w:t>
      </w:r>
    </w:p>
    <w:p>
      <w:pPr>
        <w:pStyle w:val="ListBullet"/>
      </w:pPr>
      <w:r>
        <w:t>[ ] Accept R28 “silent on MASC” as data limitation, not incomplete code</w:t>
      </w:r>
    </w:p>
    <w:p>
      <w:pPr>
        <w:pStyle w:val="ListBullet"/>
      </w:pPr>
      <w:r>
        <w:t>[ ] Confirm R29 does not flag short nav labels</w:t>
      </w:r>
    </w:p>
    <w:p>
      <w:pPr>
        <w:pStyle w:val="ListBullet"/>
      </w:pPr>
      <w:r>
        <w:t>[ ] Spot-check R30 vs R01 double-count on 3 MASC screens</w:t>
      </w:r>
    </w:p>
    <w:p>
      <w:r>
        <w:rPr>
          <w:b/>
        </w:rPr>
        <w:t>Sign-off:</w:t>
      </w:r>
      <w:r>
        <w:t xml:space="preserve"> _pending team review_</w:t>
      </w:r>
    </w:p>
    <w:p>
      <w:pPr>
        <w:pStyle w:val="Heading2"/>
      </w:pPr>
      <w:r>
        <w:t>7. Next steps</w:t>
      </w:r>
    </w:p>
    <w:p>
      <w:r>
        <w:t xml:space="preserve">1. Finish manual cells on </w:t>
      </w:r>
      <w:r>
        <w:rPr>
          <w:rFonts w:ascii="Consolas" w:hAnsi="Consolas"/>
        </w:rPr>
        <w:t>evaluation_sheet_40_screens.csv</w:t>
      </w:r>
      <w:r>
        <w:t xml:space="preserve"> (≥ 25 screens)</w:t>
      </w:r>
    </w:p>
    <w:p>
      <w:r>
        <w:t xml:space="preserve">2. If R28 needed for demo: add 1–2 synthetic fixtures with </w:t>
      </w:r>
      <w:r>
        <w:rPr>
          <w:rFonts w:ascii="Consolas" w:hAnsi="Consolas"/>
        </w:rPr>
        <w:t>textSize</w:t>
      </w:r>
      <w:r>
        <w:t xml:space="preserve"> attrs (already partially covered) and document in validation log</w:t>
      </w:r>
    </w:p>
    <w:p>
      <w:r>
        <w:t>3. Stretch later: CV contrast (R09) / CNN — not part of R26–R30 detection</w:t>
      </w:r>
    </w:p>
    <w:p>
      <w:r>
        <w:rPr>
          <w:b/>
        </w:rPr>
        <w:t>— End of R26–R30 design doc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