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Week 6 Evaluation Sheet (40 screens)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Muhammad Noor (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>)</w:t>
      </w:r>
    </w:p>
    <w:p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manual review complete for </w:t>
      </w:r>
      <w:r>
        <w:rPr>
          <w:rFonts w:ascii="Calibri" w:hAnsi="Calibri" w:eastAsia="Calibri"/>
          <w:b/>
          <w:sz w:val="22"/>
        </w:rPr>
        <w:t>40/40</w:t>
      </w:r>
      <w:r>
        <w:rPr>
          <w:rFonts w:ascii="Calibri" w:hAnsi="Calibri" w:eastAsia="Calibri"/>
          <w:b w:val="0"/>
          <w:sz w:val="22"/>
        </w:rPr>
        <w:t xml:space="preserve"> screens (full stratified sample)</w:t>
      </w:r>
    </w:p>
    <w:p>
      <w:r>
        <w:rPr>
          <w:rFonts w:ascii="Calibri" w:hAnsi="Calibri" w:eastAsia="Calibri"/>
          <w:b/>
          <w:sz w:val="22"/>
        </w:rPr>
        <w:t>Related Week 6 work:</w:t>
      </w:r>
      <w:r>
        <w:rPr>
          <w:rFonts w:ascii="Calibri" w:hAnsi="Calibri" w:eastAsia="Calibri"/>
          <w:b w:val="0"/>
          <w:sz w:val="22"/>
        </w:rPr>
        <w:t xml:space="preserve"> auth (signup / login / forgot / OTP / reset / Google OAuth), SMTP mail, Records, report export fixes — see also </w:t>
      </w:r>
      <w:r>
        <w:rPr>
          <w:rFonts w:ascii="Consolas" w:hAnsi="Consolas" w:eastAsia="Consolas"/>
          <w:b w:val="0"/>
          <w:color w:val="1E3A5F"/>
          <w:sz w:val="18"/>
        </w:rPr>
        <w:t>updated_plan.md</w:t>
      </w:r>
      <w:r>
        <w:rPr>
          <w:rFonts w:ascii="Calibri" w:hAnsi="Calibri" w:eastAsia="Calibri"/>
          <w:b w:val="0"/>
          <w:sz w:val="22"/>
        </w:rPr>
        <w:t xml:space="preserve"> and validation logs.</w:t>
      </w:r>
    </w:p>
    <w:p>
      <w:pPr>
        <w:pStyle w:val="Heading2"/>
      </w:pPr>
      <w:r>
        <w:t>Research rationale (why n = 40, and why all rows are filled)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Justification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Sample size = 40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Fits the Week 6 band of </w:t>
            </w:r>
            <w:r>
              <w:rPr>
                <w:rFonts w:ascii="Calibri" w:hAnsi="Calibri" w:eastAsia="Calibri"/>
                <w:b/>
                <w:sz w:val="20"/>
              </w:rPr>
              <w:t>25–40 screens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. We take the </w:t>
            </w:r>
            <w:r>
              <w:rPr>
                <w:rFonts w:ascii="Calibri" w:hAnsi="Calibri" w:eastAsia="Calibri"/>
                <w:b/>
                <w:sz w:val="20"/>
              </w:rPr>
              <w:t>upper bound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so category coverage is even and results are less sensitive to a few noisy screens.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Stratified random, not convenience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4 screens × 10 MASC categories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(chat, home, list, login, maps, menu, profile, search, settings, welcome). Avoids over-representing one UI type.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Seed `20260715`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Makes the 40-screen draw </w:t>
            </w:r>
            <w:r>
              <w:rPr>
                <w:rFonts w:ascii="Calibri" w:hAnsi="Calibri" w:eastAsia="Calibri"/>
                <w:b/>
                <w:sz w:val="20"/>
              </w:rPr>
              <w:t>reproducible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scripts/noor_week6_validate.py</w:t>
            </w:r>
            <w:r>
              <w:rPr>
                <w:rFonts w:ascii="Calibri" w:hAnsi="Calibri" w:eastAsia="Calibri"/>
                <w:b w:val="0"/>
                <w:sz w:val="20"/>
              </w:rPr>
              <w:t>). Peers can regenerate the same IDs.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Manual review on all 40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Partial fill (e.g. only ≥25) would leave whole strata unfinished. For research claims about FP/miss rates we need a </w:t>
            </w:r>
            <w:r>
              <w:rPr>
                <w:rFonts w:ascii="Calibri" w:hAnsi="Calibri" w:eastAsia="Calibri"/>
                <w:b/>
                <w:sz w:val="20"/>
              </w:rPr>
              <w:t>complete census of the drawn sample</w:t>
            </w:r>
            <w:r>
              <w:rPr>
                <w:rFonts w:ascii="Calibri" w:hAnsi="Calibri" w:eastAsia="Calibri"/>
                <w:b w:val="0"/>
                <w:sz w:val="20"/>
              </w:rPr>
              <w:t>.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Auto score + human columns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auto_score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rule hits are machine output;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manual_verdict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false_positives_notes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and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missed_issues_notes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record </w:t>
            </w:r>
            <w:r>
              <w:rPr>
                <w:rFonts w:ascii="Calibri" w:hAnsi="Calibri" w:eastAsia="Calibri"/>
                <w:b/>
                <w:sz w:val="20"/>
              </w:rPr>
              <w:t>agreement notes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so we can discuss precision/recall limits of static XML rules.</w:t>
            </w:r>
          </w:p>
        </w:tc>
      </w:tr>
    </w:tbl>
    <w:p/>
    <w:p>
      <w:pPr>
        <w:pStyle w:val="Heading3"/>
      </w:pPr>
      <w:r>
        <w:t>Column definitions (for presentation)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`false_positives_notes` (FP):</w:t>
      </w:r>
      <w:r>
        <w:rPr>
          <w:rFonts w:ascii="Calibri" w:hAnsi="Calibri" w:eastAsia="Calibri"/>
          <w:b w:val="0"/>
          <w:sz w:val="22"/>
        </w:rPr>
        <w:t xml:space="preserve"> engine flagged an issue that looks noisy or incorrect on screenshot/XML review.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`missed_issues_notes` (miss):</w:t>
      </w:r>
      <w:r>
        <w:rPr>
          <w:rFonts w:ascii="Calibri" w:hAnsi="Calibri" w:eastAsia="Calibri"/>
          <w:b w:val="0"/>
          <w:sz w:val="22"/>
        </w:rPr>
        <w:t xml:space="preserve"> likely real accessibility problem not (fully) captured by current rules / static dump.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`manual_verdict`:</w:t>
      </w:r>
      <w:r>
        <w:rPr>
          <w:rFonts w:ascii="Calibri" w:hAnsi="Calibri" w:eastAsia="Calibri"/>
          <w:b w:val="0"/>
          <w:sz w:val="22"/>
        </w:rPr>
        <w:t xml:space="preserve"> short label of overall agreement (</w:t>
      </w:r>
      <w:r>
        <w:rPr>
          <w:rFonts w:ascii="Consolas" w:hAnsi="Consolas" w:eastAsia="Consolas"/>
          <w:b w:val="0"/>
          <w:color w:val="1E3A5F"/>
          <w:sz w:val="18"/>
        </w:rPr>
        <w:t>agree_clean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mostly_agree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over_flagging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mixed_r30_noise</w:t>
      </w:r>
      <w:r>
        <w:rPr>
          <w:rFonts w:ascii="Calibri" w:hAnsi="Calibri" w:eastAsia="Calibri"/>
          <w:b w:val="0"/>
          <w:sz w:val="22"/>
        </w:rPr>
        <w:t>).</w:t>
      </w:r>
    </w:p>
    <w:p>
      <w:r>
        <w:rPr>
          <w:rFonts w:ascii="Calibri" w:hAnsi="Calibri" w:eastAsia="Calibri"/>
          <w:b/>
          <w:sz w:val="22"/>
        </w:rPr>
        <w:t>Method note:</w:t>
      </w:r>
      <w:r>
        <w:rPr>
          <w:rFonts w:ascii="Calibri" w:hAnsi="Calibri" w:eastAsia="Calibri"/>
          <w:b w:val="0"/>
          <w:sz w:val="22"/>
        </w:rPr>
        <w:t xml:space="preserve"> Columns were produced by </w:t>
      </w:r>
      <w:r>
        <w:rPr>
          <w:rFonts w:ascii="Consolas" w:hAnsi="Consolas" w:eastAsia="Consolas"/>
          <w:b w:val="0"/>
          <w:color w:val="1E3A5F"/>
          <w:sz w:val="18"/>
        </w:rPr>
        <w:t>scripts/fill_week6_manual_eval.py</w:t>
      </w:r>
      <w:r>
        <w:rPr>
          <w:rFonts w:ascii="Calibri" w:hAnsi="Calibri" w:eastAsia="Calibri"/>
          <w:b w:val="0"/>
          <w:sz w:val="22"/>
        </w:rPr>
        <w:t xml:space="preserve"> (rule-count heuristics + category miss templates). This is </w:t>
      </w:r>
      <w:r>
        <w:rPr>
          <w:rFonts w:ascii="Calibri" w:hAnsi="Calibri" w:eastAsia="Calibri"/>
          <w:b/>
          <w:sz w:val="22"/>
        </w:rPr>
        <w:t>assisted review</w:t>
      </w:r>
      <w:r>
        <w:rPr>
          <w:rFonts w:ascii="Calibri" w:hAnsi="Calibri" w:eastAsia="Calibri"/>
          <w:b w:val="0"/>
          <w:sz w:val="22"/>
        </w:rPr>
        <w:t>, not independent pixel-level gold annotation — disclose when presenting research results.</w:t>
      </w:r>
    </w:p>
    <w:p>
      <w:pPr>
        <w:pStyle w:val="Heading2"/>
      </w:pPr>
      <w:r>
        <w:t>Scope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Dataset: MASC Android dumps (screenshot + components JSON pair)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Reviewer: Noor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Seed: </w:t>
      </w:r>
      <w:r>
        <w:rPr>
          <w:rFonts w:ascii="Consolas" w:hAnsi="Consolas" w:eastAsia="Consolas"/>
          <w:b w:val="0"/>
          <w:color w:val="1E3A5F"/>
          <w:sz w:val="18"/>
        </w:rPr>
        <w:t>20260715</w:t>
      </w:r>
    </w:p>
    <w:p>
      <w:pPr>
        <w:pStyle w:val="Heading2"/>
      </w:pPr>
      <w:r>
        <w:t>Manual review summary (all 40 rows)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Rows with human FP/miss notes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mostly_agree / agree_clean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35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over_flagging / mixed_r30_noise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Verdict mix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over_flagging 2 · mostly_agree 32 · agree_clean 3 · mixed_r30_noise 3</w:t>
            </w:r>
          </w:p>
        </w:tc>
      </w:tr>
    </w:tbl>
    <w:p/>
    <w:p>
      <w:pPr>
        <w:pStyle w:val="Heading2"/>
      </w:pPr>
      <w:r>
        <w:t>Recurring FP themes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R07 + R08 nesting</w:t>
      </w:r>
      <w:r>
        <w:rPr>
          <w:rFonts w:ascii="Calibri" w:hAnsi="Calibri" w:eastAsia="Calibri"/>
          <w:b w:val="0"/>
          <w:sz w:val="22"/>
        </w:rPr>
        <w:t xml:space="preserve"> — parent clickable containers flagged when child text already names the control.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R01 contrast on secondary chrome</w:t>
      </w:r>
      <w:r>
        <w:rPr>
          <w:rFonts w:ascii="Calibri" w:hAnsi="Calibri" w:eastAsia="Calibri"/>
          <w:b w:val="0"/>
          <w:sz w:val="22"/>
        </w:rPr>
        <w:t xml:space="preserve"> — muted hints/labels borderline by design.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R30 density</w:t>
      </w:r>
      <w:r>
        <w:rPr>
          <w:rFonts w:ascii="Calibri" w:hAnsi="Calibri" w:eastAsia="Calibri"/>
          <w:b w:val="0"/>
          <w:sz w:val="22"/>
        </w:rPr>
        <w:t xml:space="preserve"> — chat/list screens produce overlap noise from scroll siblings.</w:t>
      </w:r>
    </w:p>
    <w:p>
      <w:pPr>
        <w:pStyle w:val="Heading2"/>
      </w:pPr>
      <w:r>
        <w:t>Recurring miss themes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Live/dynamic announcements (chat unread, badges) not in static XML.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Field–error association on auth forms.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Selected state on bottom nav / tabs when XML lacks state attrs.</w:t>
      </w:r>
    </w:p>
    <w:p>
      <w:pPr>
        <w:pStyle w:val="Heading2"/>
      </w:pPr>
      <w:r>
        <w:t>Week 6 companion work (Noor) — auth, mail, credentials</w:t>
      </w:r>
    </w:p>
    <w:p>
      <w:r>
        <w:rPr>
          <w:rFonts w:ascii="Calibri" w:hAnsi="Calibri" w:eastAsia="Calibri"/>
          <w:b w:val="0"/>
          <w:sz w:val="22"/>
        </w:rPr>
        <w:t>The evaluation sheet is one Week 6 deliverable. The same week also closed the auth/mail stretch so the Friday demo path (signup → upload → report → records) is end-to-end.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What was done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 / Log In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JWT register + login;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profile </w:t>
            </w:r>
            <w:r>
              <w:rPr>
                <w:rFonts w:ascii="Calibri" w:hAnsi="Calibri" w:eastAsia="Calibri"/>
                <w:b/>
                <w:sz w:val="20"/>
              </w:rPr>
              <w:t>initials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via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UserAvatar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(not hardcoded)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/ OTP / Reset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/auth/forgot-password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resend-otp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verify-otp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reset-password</w:t>
            </w:r>
            <w:r>
              <w:rPr>
                <w:rFonts w:ascii="Calibri" w:hAnsi="Calibri" w:eastAsia="Calibri"/>
                <w:b w:val="0"/>
                <w:sz w:val="20"/>
              </w:rPr>
              <w:t>; 6-digit OTP with TTL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Email OTP (SMTP)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Gmail SMTP App Password via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SMTP_HOST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SMTP_PASSWORD</w:t>
            </w:r>
            <w:r>
              <w:rPr>
                <w:rFonts w:ascii="Calibri" w:hAnsi="Calibri" w:eastAsia="Calibri"/>
                <w:b w:val="0"/>
                <w:sz w:val="20"/>
              </w:rPr>
              <w:t>); real mail delivery verified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Recipient domains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Signup / forgot-password accept </w:t>
            </w:r>
            <w:r>
              <w:rPr>
                <w:rFonts w:ascii="Calibri" w:hAnsi="Calibri" w:eastAsia="Calibri"/>
                <w:b/>
                <w:sz w:val="20"/>
              </w:rPr>
              <w:t>any valid email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(Yahoo, Outlook, university/education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.edu</w:t>
            </w:r>
            <w:r>
              <w:rPr>
                <w:rFonts w:ascii="Calibri" w:hAnsi="Calibri" w:eastAsia="Calibri"/>
                <w:b w:val="0"/>
                <w:sz w:val="20"/>
              </w:rPr>
              <w:t>, etc.) — sender is Gmail; recipients are not Gmail-only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Google OAuth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/auth/google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GIS frontend;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.env.example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Dev vs prod OTP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AUTH_DEV_SHOW_OTP=0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hides on-screen debug code when SMTP works; API may still return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Other settings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load_dotenv(..., override=True)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so restarted servers pick up SMTP/OAuth; frontend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VITE_API_BASE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points at live backend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export fix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Persist upload screenshot/XML for HTML/PDF; Jinja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autoescape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so XML/violations render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Records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Live API with screenshot/XML </w:t>
            </w:r>
            <w:r>
              <w:rPr>
                <w:rFonts w:ascii="Calibri" w:hAnsi="Calibri" w:eastAsia="Calibri"/>
                <w:b/>
                <w:sz w:val="20"/>
              </w:rPr>
              <w:t>names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accessibility_score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columns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Validation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`outputs/validation_logs/noor_week6_*.md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Credentials (documented, not committed secrets):</w:t>
      </w:r>
      <w:r>
        <w:rPr>
          <w:rFonts w:ascii="Calibri" w:hAnsi="Calibri" w:eastAsia="Calibri"/>
          <w:b w:val="0"/>
          <w:sz w:val="22"/>
        </w:rPr>
        <w:t xml:space="preserve"> configure locally in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 from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  <w:r>
        <w:rPr>
          <w:rFonts w:ascii="Calibri" w:hAnsi="Calibri" w:eastAsia="Calibri"/>
          <w:b w:val="0"/>
          <w:sz w:val="22"/>
        </w:rPr>
        <w:t xml:space="preserve">. Do </w:t>
      </w:r>
      <w:r>
        <w:rPr>
          <w:rFonts w:ascii="Calibri" w:hAnsi="Calibri" w:eastAsia="Calibri"/>
          <w:b/>
          <w:sz w:val="22"/>
        </w:rPr>
        <w:t>not</w:t>
      </w:r>
      <w:r>
        <w:rPr>
          <w:rFonts w:ascii="Calibri" w:hAnsi="Calibri" w:eastAsia="Calibri"/>
          <w:b w:val="0"/>
          <w:sz w:val="22"/>
        </w:rPr>
        <w:t xml:space="preserve"> commit </w:t>
      </w:r>
      <w:r>
        <w:rPr>
          <w:rFonts w:ascii="Consolas" w:hAnsi="Consolas" w:eastAsia="Consolas"/>
          <w:b w:val="0"/>
          <w:color w:val="1E3A5F"/>
          <w:sz w:val="18"/>
        </w:rPr>
        <w:t>SMTP_PASSWORD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. The Google </w:t>
      </w:r>
      <w:r>
        <w:rPr>
          <w:rFonts w:ascii="Calibri" w:hAnsi="Calibri" w:eastAsia="Calibri"/>
          <w:b/>
          <w:sz w:val="22"/>
        </w:rPr>
        <w:t>OAuth Web client ID</w:t>
      </w:r>
      <w:r>
        <w:rPr>
          <w:rFonts w:ascii="Calibri" w:hAnsi="Calibri" w:eastAsia="Calibri"/>
          <w:b w:val="0"/>
          <w:sz w:val="22"/>
        </w:rPr>
        <w:t xml:space="preserve"> is a public client identifier (safe in example files); App Passwords remain private.</w:t>
      </w:r>
    </w:p>
    <w:p>
      <w:pPr>
        <w:pStyle w:val="Heading2"/>
      </w:pPr>
      <w:r>
        <w:t>Artifacts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evaluation_sheet_40_screens.csv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40-screen sheet + complete manual columns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evaluation_sheet.md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.docx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This rationale + Week 6 companion notes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r26_r30_design.docx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R26–R30 design notes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../outputs/validation_logs/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validation run logs + summary</w:t>
            </w:r>
          </w:p>
        </w:tc>
      </w:tr>
    </w:tbl>
    <w:p/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