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Arial" w:cs="Arial" w:eastAsia="Arial" w:hAnsi="Arial"/>
          <w:b/>
          <w:bCs/>
          <w:color w:val="0F2340"/>
          <w:sz w:val="40"/>
          <w:szCs w:val="40"/>
        </w:rPr>
        <w:t xml:space="preserve">RENCANA ANGGARAN BIAYA</w:t>
      </w:r>
    </w:p>
    <w:p>
      <w:pPr>
        <w:spacing w:after="60"/>
        <w:jc w:val="center"/>
      </w:pPr>
      <w:r>
        <w:rPr>
          <w:b/>
          <w:bCs/>
          <w:color w:val="2168AE"/>
          <w:sz w:val="30"/>
          <w:szCs w:val="30"/>
        </w:rPr>
        <w:t xml:space="preserve">Pengembangan Sistem Web SI4CARE</w:t>
      </w:r>
    </w:p>
    <w:p>
      <w:pPr>
        <w:jc w:val="center"/>
      </w:pPr>
      <w:r>
        <w:rPr>
          <w:color w:val="6B7280"/>
          <w:sz w:val="21"/>
          <w:szCs w:val="21"/>
        </w:rPr>
        <w:t xml:space="preserve">Company Profile + Online Shop + POS / Back-Office Terintegrasi</w:t>
      </w:r>
    </w:p>
    <w:p>
      <w:pPr>
        <w:spacing w:before="60"/>
        <w:jc w:val="center"/>
      </w:pPr>
      <w:r>
        <w:rPr>
          <w:i/>
          <w:iCs/>
          <w:color w:val="6B7280"/>
          <w:sz w:val="19"/>
          <w:szCs w:val="19"/>
        </w:rPr>
        <w:t xml:space="preserve">Usulan Anggaran Efisien · Versi 2.0 · Juni 2026</w:t>
      </w:r>
    </w:p>
    <w:p>
      <w:pPr>
        <w:pBdr>
          <w:bottom w:val="single" w:color="E5EAF1" w:sz="6" w:space="4"/>
        </w:pBdr>
        <w:spacing w:after="240" w:before="240"/>
        <w:jc w:val="center"/>
      </w:pPr>
      <w:r>
        <w:t xml:space="preserve"/>
      </w:r>
    </w:p>
    <w:p>
      <w:pPr>
        <w:pStyle w:val="Heading1"/>
      </w:pPr>
      <w:r>
        <w:t xml:space="preserve">Ringkasan Eksekutif</w:t>
      </w:r>
    </w:p>
    <w:p>
      <w:pPr>
        <w:spacing w:after="130"/>
      </w:pPr>
      <w:r>
        <w:t xml:space="preserve">Dokumen ini menyajikan rincian anggaran pengembangan SI4CARE — sistem web terintegrasi yang menyatukan profil perusahaan, toko online, dan kasir/back-office dalam satu sumber data. Tujuannya memberikan gambaran biaya yang transparan dan dapat diprediksi, baik untuk pembangunan awal maupun operasional jangka panjang.</w:t>
      </w:r>
    </w:p>
    <w:p>
      <w:pPr>
        <w:spacing w:after="130"/>
      </w:pPr>
      <w:r>
        <w:t xml:space="preserve">Pendekatan anggaran ini dirancang efisien: biaya pengembangan satu kali yang terjangkau, tanpa modal awal untuk layanan pihak ketiga, serta biaya operasional tahunan yang pasti dan terkendali.</w:t>
      </w:r>
    </w:p>
    <w:p>
      <w:r>
        <w:t xml:space="preserve"/>
      </w:r>
    </w:p>
    <w:tbl>
      <w:tblPr>
        <w:tblW w:type="dxa" w:w="9026"/>
        <w:tblBorders>
          <w:top w:val="single" w:color="D5DEEA" w:sz="1"/>
          <w:left w:val="single" w:color="D5DEEA" w:sz="1"/>
          <w:bottom w:val="single" w:color="D5DEEA" w:sz="1"/>
          <w:right w:val="single" w:color="D5DEEA" w:sz="1"/>
          <w:insideH w:val="single" w:color="D5DEEA" w:sz="1"/>
          <w:insideV w:val="single" w:color="D5DEEA" w:sz="1"/>
        </w:tblBorders>
      </w:tblPr>
      <w:tblGrid>
        <w:gridCol w:w="6026"/>
        <w:gridCol w:w="3000"/>
      </w:tblGrid>
      <w:tr>
        <w:trPr>
          <w:tblHeader/>
        </w:trPr>
        <w:tc>
          <w:tcPr>
            <w:tcW w:type="dxa" w:w="6026"/>
            <w:shd w:fill="0F2340" w:val="clear"/>
            <w:tcMar>
              <w:top w:type="dxa" w:w="90"/>
              <w:left w:type="dxa" w:w="140"/>
              <w:bottom w:type="dxa" w:w="90"/>
              <w:right w:type="dxa" w:w="140"/>
            </w:tcMar>
            <w:vAlign w:val="center"/>
          </w:tcPr>
          <w:p>
            <w:pPr>
              <w:jc w:val="left"/>
            </w:pPr>
            <w:r>
              <w:rPr>
                <w:b/>
                <w:bCs/>
                <w:color w:val="FFFFFF"/>
                <w:sz w:val="19"/>
                <w:szCs w:val="19"/>
              </w:rPr>
              <w:t xml:space="preserve">Ringkasan</w:t>
            </w:r>
          </w:p>
        </w:tc>
        <w:tc>
          <w:tcPr>
            <w:tcW w:type="dxa" w:w="3000"/>
            <w:shd w:fill="0F2340" w:val="clear"/>
            <w:tcMar>
              <w:top w:type="dxa" w:w="90"/>
              <w:left w:type="dxa" w:w="140"/>
              <w:bottom w:type="dxa" w:w="90"/>
              <w:right w:type="dxa" w:w="140"/>
            </w:tcMar>
            <w:vAlign w:val="center"/>
          </w:tcPr>
          <w:p>
            <w:pPr>
              <w:jc w:val="right"/>
            </w:pPr>
            <w:r>
              <w:rPr>
                <w:b/>
                <w:bCs/>
                <w:color w:val="FFFFFF"/>
                <w:sz w:val="19"/>
                <w:szCs w:val="19"/>
              </w:rPr>
              <w:t xml:space="preserve">Nilai</w:t>
            </w:r>
          </w:p>
        </w:tc>
      </w:tr>
      <w:tr>
        <w:tc>
          <w:tcPr>
            <w:tcW w:type="dxa" w:w="6026"/>
            <w:shd w:fill="FFFFFF" w:val="clear"/>
            <w:tcMar>
              <w:top w:type="dxa" w:w="90"/>
              <w:left w:type="dxa" w:w="140"/>
              <w:bottom w:type="dxa" w:w="90"/>
              <w:right w:type="dxa" w:w="140"/>
            </w:tcMar>
            <w:vAlign w:val="center"/>
          </w:tcPr>
          <w:p>
            <w:pPr>
              <w:jc w:val="left"/>
            </w:pPr>
            <w:r>
              <w:rPr>
                <w:b w:val="false"/>
                <w:bCs w:val="false"/>
                <w:color w:val="111827"/>
                <w:sz w:val="19"/>
                <w:szCs w:val="19"/>
              </w:rPr>
              <w:t xml:space="preserve">Total investasi Tahun Pertama (pengembangan + infrastruktur)</w:t>
            </w:r>
          </w:p>
        </w:tc>
        <w:tc>
          <w:tcPr>
            <w:tcW w:type="dxa" w:w="3000"/>
            <w:shd w:fill="FFFFFF" w:val="clear"/>
            <w:tcMar>
              <w:top w:type="dxa" w:w="90"/>
              <w:left w:type="dxa" w:w="140"/>
              <w:bottom w:type="dxa" w:w="90"/>
              <w:right w:type="dxa" w:w="140"/>
            </w:tcMar>
            <w:vAlign w:val="center"/>
          </w:tcPr>
          <w:p>
            <w:pPr>
              <w:jc w:val="right"/>
            </w:pPr>
            <w:r>
              <w:rPr>
                <w:b w:val="false"/>
                <w:bCs w:val="false"/>
                <w:color w:val="111827"/>
                <w:sz w:val="19"/>
                <w:szCs w:val="19"/>
              </w:rPr>
              <w:t xml:space="preserve">Rp 7.100.000</w:t>
            </w:r>
          </w:p>
        </w:tc>
      </w:tr>
      <w:tr>
        <w:tc>
          <w:tcPr>
            <w:tcW w:type="dxa" w:w="6026"/>
            <w:shd w:fill="F2F5F8" w:val="clear"/>
            <w:tcMar>
              <w:top w:type="dxa" w:w="90"/>
              <w:left w:type="dxa" w:w="140"/>
              <w:bottom w:type="dxa" w:w="90"/>
              <w:right w:type="dxa" w:w="140"/>
            </w:tcMar>
            <w:vAlign w:val="center"/>
          </w:tcPr>
          <w:p>
            <w:pPr>
              <w:jc w:val="left"/>
            </w:pPr>
            <w:r>
              <w:rPr>
                <w:b w:val="false"/>
                <w:bCs w:val="false"/>
                <w:color w:val="111827"/>
                <w:sz w:val="19"/>
                <w:szCs w:val="19"/>
              </w:rPr>
              <w:t xml:space="preserve">Biaya operasional tahun berikutnya (infrastruktur + pemeliharaan)</w:t>
            </w:r>
          </w:p>
        </w:tc>
        <w:tc>
          <w:tcPr>
            <w:tcW w:type="dxa" w:w="3000"/>
            <w:shd w:fill="F2F5F8" w:val="clear"/>
            <w:tcMar>
              <w:top w:type="dxa" w:w="90"/>
              <w:left w:type="dxa" w:w="140"/>
              <w:bottom w:type="dxa" w:w="90"/>
              <w:right w:type="dxa" w:w="140"/>
            </w:tcMar>
            <w:vAlign w:val="center"/>
          </w:tcPr>
          <w:p>
            <w:pPr>
              <w:jc w:val="right"/>
            </w:pPr>
            <w:r>
              <w:rPr>
                <w:b w:val="false"/>
                <w:bCs w:val="false"/>
                <w:color w:val="111827"/>
                <w:sz w:val="19"/>
                <w:szCs w:val="19"/>
              </w:rPr>
              <w:t xml:space="preserve">Rp 3.000.000 – Rp 4.000.000 / tahun</w:t>
            </w:r>
          </w:p>
        </w:tc>
      </w:tr>
      <w:tr>
        <w:tc>
          <w:tcPr>
            <w:tcW w:type="dxa" w:w="6026"/>
            <w:shd w:fill="FFFFFF" w:val="clear"/>
            <w:tcMar>
              <w:top w:type="dxa" w:w="90"/>
              <w:left w:type="dxa" w:w="140"/>
              <w:bottom w:type="dxa" w:w="90"/>
              <w:right w:type="dxa" w:w="140"/>
            </w:tcMar>
            <w:vAlign w:val="center"/>
          </w:tcPr>
          <w:p>
            <w:pPr>
              <w:jc w:val="left"/>
            </w:pPr>
            <w:r>
              <w:rPr>
                <w:b w:val="false"/>
                <w:bCs w:val="false"/>
                <w:color w:val="111827"/>
                <w:sz w:val="19"/>
                <w:szCs w:val="19"/>
              </w:rPr>
              <w:t xml:space="preserve">Modal awal layanan pihak ketiga (Midtrans &amp; RajaOngkir)</w:t>
            </w:r>
          </w:p>
        </w:tc>
        <w:tc>
          <w:tcPr>
            <w:tcW w:type="dxa" w:w="3000"/>
            <w:shd w:fill="FFFFFF" w:val="clear"/>
            <w:tcMar>
              <w:top w:type="dxa" w:w="90"/>
              <w:left w:type="dxa" w:w="140"/>
              <w:bottom w:type="dxa" w:w="90"/>
              <w:right w:type="dxa" w:w="140"/>
            </w:tcMar>
            <w:vAlign w:val="center"/>
          </w:tcPr>
          <w:p>
            <w:pPr>
              <w:jc w:val="right"/>
            </w:pPr>
            <w:r>
              <w:rPr>
                <w:b w:val="false"/>
                <w:bCs w:val="false"/>
                <w:color w:val="111827"/>
                <w:sz w:val="19"/>
                <w:szCs w:val="19"/>
              </w:rPr>
              <w:t xml:space="preserve">Rp 0</w:t>
            </w:r>
          </w:p>
        </w:tc>
      </w:tr>
    </w:tbl>
    <w:p>
      <w:pPr>
        <w:pStyle w:val="Heading1"/>
      </w:pPr>
      <w:r>
        <w:t xml:space="preserve">1. Lingkup Sistem yang Dibangun</w:t>
      </w:r>
    </w:p>
    <w:p>
      <w:pPr>
        <w:spacing w:after="130"/>
      </w:pPr>
      <w:r>
        <w:t xml:space="preserve">Untuk memperjelas nilai yang diperoleh, berikut modul utama yang dibangun pada Fase 1 sesuai dokumen Spesifikasi Kebutuhan Perangkat Lunak (SRS):</w:t>
      </w:r>
    </w:p>
    <w:tbl>
      <w:tblPr>
        <w:tblW w:type="dxa" w:w="9026"/>
        <w:tblBorders>
          <w:top w:val="single" w:color="D5DEEA" w:sz="1"/>
          <w:left w:val="single" w:color="D5DEEA" w:sz="1"/>
          <w:bottom w:val="single" w:color="D5DEEA" w:sz="1"/>
          <w:right w:val="single" w:color="D5DEEA" w:sz="1"/>
          <w:insideH w:val="single" w:color="D5DEEA" w:sz="1"/>
          <w:insideV w:val="single" w:color="D5DEEA" w:sz="1"/>
        </w:tblBorders>
      </w:tblPr>
      <w:tblGrid>
        <w:gridCol w:w="3026"/>
        <w:gridCol w:w="6000"/>
      </w:tblGrid>
      <w:tr>
        <w:trPr>
          <w:tblHeader/>
        </w:trPr>
        <w:tc>
          <w:tcPr>
            <w:tcW w:type="dxa" w:w="3026"/>
            <w:shd w:fill="0F2340" w:val="clear"/>
            <w:tcMar>
              <w:top w:type="dxa" w:w="90"/>
              <w:left w:type="dxa" w:w="140"/>
              <w:bottom w:type="dxa" w:w="90"/>
              <w:right w:type="dxa" w:w="140"/>
            </w:tcMar>
            <w:vAlign w:val="center"/>
          </w:tcPr>
          <w:p>
            <w:pPr>
              <w:jc w:val="left"/>
            </w:pPr>
            <w:r>
              <w:rPr>
                <w:b/>
                <w:bCs/>
                <w:color w:val="FFFFFF"/>
                <w:sz w:val="19"/>
                <w:szCs w:val="19"/>
              </w:rPr>
              <w:t xml:space="preserve">Modul</w:t>
            </w:r>
          </w:p>
        </w:tc>
        <w:tc>
          <w:tcPr>
            <w:tcW w:type="dxa" w:w="6000"/>
            <w:shd w:fill="0F2340" w:val="clear"/>
            <w:tcMar>
              <w:top w:type="dxa" w:w="90"/>
              <w:left w:type="dxa" w:w="140"/>
              <w:bottom w:type="dxa" w:w="90"/>
              <w:right w:type="dxa" w:w="140"/>
            </w:tcMar>
            <w:vAlign w:val="center"/>
          </w:tcPr>
          <w:p>
            <w:pPr>
              <w:jc w:val="left"/>
            </w:pPr>
            <w:r>
              <w:rPr>
                <w:b/>
                <w:bCs/>
                <w:color w:val="FFFFFF"/>
                <w:sz w:val="19"/>
                <w:szCs w:val="19"/>
              </w:rPr>
              <w:t xml:space="preserve">Fungsi Utama</w:t>
            </w:r>
          </w:p>
        </w:tc>
      </w:tr>
      <w:tr>
        <w:tc>
          <w:tcPr>
            <w:tcW w:type="dxa" w:w="3026"/>
            <w:shd w:fill="FFFFFF" w:val="clear"/>
            <w:tcMar>
              <w:top w:type="dxa" w:w="90"/>
              <w:left w:type="dxa" w:w="140"/>
              <w:bottom w:type="dxa" w:w="90"/>
              <w:right w:type="dxa" w:w="140"/>
            </w:tcMar>
            <w:vAlign w:val="center"/>
          </w:tcPr>
          <w:p>
            <w:pPr>
              <w:jc w:val="left"/>
            </w:pPr>
            <w:r>
              <w:rPr>
                <w:b w:val="false"/>
                <w:bCs w:val="false"/>
                <w:color w:val="111827"/>
                <w:sz w:val="19"/>
                <w:szCs w:val="19"/>
              </w:rPr>
              <w:t xml:space="preserve">Company Profile / Landing</w:t>
            </w:r>
          </w:p>
        </w:tc>
        <w:tc>
          <w:tcPr>
            <w:tcW w:type="dxa" w:w="6000"/>
            <w:shd w:fill="FFFFFF" w:val="clear"/>
            <w:tcMar>
              <w:top w:type="dxa" w:w="90"/>
              <w:left w:type="dxa" w:w="140"/>
              <w:bottom w:type="dxa" w:w="90"/>
              <w:right w:type="dxa" w:w="140"/>
            </w:tcMar>
            <w:vAlign w:val="center"/>
          </w:tcPr>
          <w:p>
            <w:pPr>
              <w:jc w:val="left"/>
            </w:pPr>
            <w:r>
              <w:rPr>
                <w:b w:val="false"/>
                <w:bCs w:val="false"/>
                <w:color w:val="111827"/>
                <w:sz w:val="19"/>
                <w:szCs w:val="19"/>
              </w:rPr>
              <w:t xml:space="preserve">Halaman profil &amp; promosi yang kontennya dapat dikelola sendiri (CMS), dioptimalkan untuk SEO dan tampilan mobile.</w:t>
            </w:r>
          </w:p>
        </w:tc>
      </w:tr>
      <w:tr>
        <w:tc>
          <w:tcPr>
            <w:tcW w:type="dxa" w:w="3026"/>
            <w:shd w:fill="F2F5F8" w:val="clear"/>
            <w:tcMar>
              <w:top w:type="dxa" w:w="90"/>
              <w:left w:type="dxa" w:w="140"/>
              <w:bottom w:type="dxa" w:w="90"/>
              <w:right w:type="dxa" w:w="140"/>
            </w:tcMar>
            <w:vAlign w:val="center"/>
          </w:tcPr>
          <w:p>
            <w:pPr>
              <w:jc w:val="left"/>
            </w:pPr>
            <w:r>
              <w:rPr>
                <w:b w:val="false"/>
                <w:bCs w:val="false"/>
                <w:color w:val="111827"/>
                <w:sz w:val="19"/>
                <w:szCs w:val="19"/>
              </w:rPr>
              <w:t xml:space="preserve">Online Shop &amp; Checkout</w:t>
            </w:r>
          </w:p>
        </w:tc>
        <w:tc>
          <w:tcPr>
            <w:tcW w:type="dxa" w:w="6000"/>
            <w:shd w:fill="F2F5F8" w:val="clear"/>
            <w:tcMar>
              <w:top w:type="dxa" w:w="90"/>
              <w:left w:type="dxa" w:w="140"/>
              <w:bottom w:type="dxa" w:w="90"/>
              <w:right w:type="dxa" w:w="140"/>
            </w:tcMar>
            <w:vAlign w:val="center"/>
          </w:tcPr>
          <w:p>
            <w:pPr>
              <w:jc w:val="left"/>
            </w:pPr>
            <w:r>
              <w:rPr>
                <w:b w:val="false"/>
                <w:bCs w:val="false"/>
                <w:color w:val="111827"/>
                <w:sz w:val="19"/>
                <w:szCs w:val="19"/>
              </w:rPr>
              <w:t xml:space="preserve">Etalase produk, keranjang, dan pembayaran daring melalui Midtrans (QRIS, Virtual Account, kartu, e-wallet).</w:t>
            </w:r>
          </w:p>
        </w:tc>
      </w:tr>
      <w:tr>
        <w:tc>
          <w:tcPr>
            <w:tcW w:type="dxa" w:w="3026"/>
            <w:shd w:fill="FFFFFF" w:val="clear"/>
            <w:tcMar>
              <w:top w:type="dxa" w:w="90"/>
              <w:left w:type="dxa" w:w="140"/>
              <w:bottom w:type="dxa" w:w="90"/>
              <w:right w:type="dxa" w:w="140"/>
            </w:tcMar>
            <w:vAlign w:val="center"/>
          </w:tcPr>
          <w:p>
            <w:pPr>
              <w:jc w:val="left"/>
            </w:pPr>
            <w:r>
              <w:rPr>
                <w:b w:val="false"/>
                <w:bCs w:val="false"/>
                <w:color w:val="111827"/>
                <w:sz w:val="19"/>
                <w:szCs w:val="19"/>
              </w:rPr>
              <w:t xml:space="preserve">POS / Kasir</w:t>
            </w:r>
          </w:p>
        </w:tc>
        <w:tc>
          <w:tcPr>
            <w:tcW w:type="dxa" w:w="6000"/>
            <w:shd w:fill="FFFFFF" w:val="clear"/>
            <w:tcMar>
              <w:top w:type="dxa" w:w="90"/>
              <w:left w:type="dxa" w:w="140"/>
              <w:bottom w:type="dxa" w:w="90"/>
              <w:right w:type="dxa" w:w="140"/>
            </w:tcMar>
            <w:vAlign w:val="center"/>
          </w:tcPr>
          <w:p>
            <w:pPr>
              <w:jc w:val="left"/>
            </w:pPr>
            <w:r>
              <w:rPr>
                <w:b w:val="false"/>
                <w:bCs w:val="false"/>
                <w:color w:val="111827"/>
                <w:sz w:val="19"/>
                <w:szCs w:val="19"/>
              </w:rPr>
              <w:t xml:space="preserve">Transaksi kasir toko fisik dengan diskon, perhitungan HPP, dan struk yang dapat dicetak.</w:t>
            </w:r>
          </w:p>
        </w:tc>
      </w:tr>
      <w:tr>
        <w:tc>
          <w:tcPr>
            <w:tcW w:type="dxa" w:w="3026"/>
            <w:shd w:fill="F2F5F8" w:val="clear"/>
            <w:tcMar>
              <w:top w:type="dxa" w:w="90"/>
              <w:left w:type="dxa" w:w="140"/>
              <w:bottom w:type="dxa" w:w="90"/>
              <w:right w:type="dxa" w:w="140"/>
            </w:tcMar>
            <w:vAlign w:val="center"/>
          </w:tcPr>
          <w:p>
            <w:pPr>
              <w:jc w:val="left"/>
            </w:pPr>
            <w:r>
              <w:rPr>
                <w:b w:val="false"/>
                <w:bCs w:val="false"/>
                <w:color w:val="111827"/>
                <w:sz w:val="19"/>
                <w:szCs w:val="19"/>
              </w:rPr>
              <w:t xml:space="preserve">Back-Office Terintegrasi</w:t>
            </w:r>
          </w:p>
        </w:tc>
        <w:tc>
          <w:tcPr>
            <w:tcW w:type="dxa" w:w="6000"/>
            <w:shd w:fill="F2F5F8" w:val="clear"/>
            <w:tcMar>
              <w:top w:type="dxa" w:w="90"/>
              <w:left w:type="dxa" w:w="140"/>
              <w:bottom w:type="dxa" w:w="90"/>
              <w:right w:type="dxa" w:w="140"/>
            </w:tcMar>
            <w:vAlign w:val="center"/>
          </w:tcPr>
          <w:p>
            <w:pPr>
              <w:jc w:val="left"/>
            </w:pPr>
            <w:r>
              <w:rPr>
                <w:b w:val="false"/>
                <w:bCs w:val="false"/>
                <w:color w:val="111827"/>
                <w:sz w:val="19"/>
                <w:szCs w:val="19"/>
              </w:rPr>
              <w:t xml:space="preserve">Manajemen produk, stok berbasis batch (HPP &amp; kedaluwarsa), diskon/voucher, pesanan, dan pengaturan.</w:t>
            </w:r>
          </w:p>
        </w:tc>
      </w:tr>
      <w:tr>
        <w:tc>
          <w:tcPr>
            <w:tcW w:type="dxa" w:w="3026"/>
            <w:shd w:fill="FFFFFF" w:val="clear"/>
            <w:tcMar>
              <w:top w:type="dxa" w:w="90"/>
              <w:left w:type="dxa" w:w="140"/>
              <w:bottom w:type="dxa" w:w="90"/>
              <w:right w:type="dxa" w:w="140"/>
            </w:tcMar>
            <w:vAlign w:val="center"/>
          </w:tcPr>
          <w:p>
            <w:pPr>
              <w:jc w:val="left"/>
            </w:pPr>
            <w:r>
              <w:rPr>
                <w:b w:val="false"/>
                <w:bCs w:val="false"/>
                <w:color w:val="111827"/>
                <w:sz w:val="19"/>
                <w:szCs w:val="19"/>
              </w:rPr>
              <w:t xml:space="preserve">Laporan &amp; Buku Biaya</w:t>
            </w:r>
          </w:p>
        </w:tc>
        <w:tc>
          <w:tcPr>
            <w:tcW w:type="dxa" w:w="6000"/>
            <w:shd w:fill="FFFFFF" w:val="clear"/>
            <w:tcMar>
              <w:top w:type="dxa" w:w="90"/>
              <w:left w:type="dxa" w:w="140"/>
              <w:bottom w:type="dxa" w:w="90"/>
              <w:right w:type="dxa" w:w="140"/>
            </w:tcMar>
            <w:vAlign w:val="center"/>
          </w:tcPr>
          <w:p>
            <w:pPr>
              <w:jc w:val="left"/>
            </w:pPr>
            <w:r>
              <w:rPr>
                <w:b w:val="false"/>
                <w:bCs w:val="false"/>
                <w:color w:val="111827"/>
                <w:sz w:val="19"/>
                <w:szCs w:val="19"/>
              </w:rPr>
              <w:t xml:space="preserve">Laba/rugi real-time, pemisahan Uang Riil vs Dana Pending, serta penelusuran biaya per kategori/item.</w:t>
            </w:r>
          </w:p>
        </w:tc>
      </w:tr>
    </w:tbl>
    <w:p>
      <w:r>
        <w:br w:type="page"/>
      </w:r>
    </w:p>
    <w:p>
      <w:pPr>
        <w:pStyle w:val="Heading1"/>
      </w:pPr>
      <w:r>
        <w:t xml:space="preserve">2. Penjelasan Skema Biaya Layanan Pihak Ketiga</w:t>
      </w:r>
    </w:p>
    <w:p>
      <w:pPr>
        <w:spacing w:after="130"/>
      </w:pPr>
      <w:r>
        <w:t xml:space="preserve">Berdasarkan dokumen SRS SI4CARE, komponen integrasi pihak ketiga tidak memerlukan modal awal pada tahun pertama. Berikut dasar faktualnya:</w:t>
      </w:r>
    </w:p>
    <w:p>
      <w:pPr>
        <w:pStyle w:val="Heading2"/>
      </w:pPr>
      <w:r>
        <w:t xml:space="preserve">2.1 Midtrans (Payment Gateway)</w:t>
      </w:r>
    </w:p>
    <w:p>
      <w:pPr>
        <w:spacing w:after="130"/>
      </w:pPr>
      <w:r>
        <w:t xml:space="preserve">Midtrans menerapkan skema bagi hasil pay-as-you-go (MDR — Merchant Discount Rate): tanpa biaya pendaftaran, tanpa biaya integrasi di muka, dan tanpa langganan bulanan. Biaya hanya dipotong dari setiap transaksi yang berhasil, sehingga modal awal ke vendor adalah Rp 0. Biaya ini bersifat operasional (mengikuti omzet), bukan biaya pengembangan.</w:t>
      </w:r>
    </w:p>
    <w:p>
      <w:r>
        <w:t xml:space="preserve"/>
      </w:r>
    </w:p>
    <w:tbl>
      <w:tblPr>
        <w:tblW w:type="dxa" w:w="9026"/>
        <w:tblBorders>
          <w:top w:val="single" w:color="D5DEEA" w:sz="1"/>
          <w:left w:val="single" w:color="D5DEEA" w:sz="1"/>
          <w:bottom w:val="single" w:color="D5DEEA" w:sz="1"/>
          <w:right w:val="single" w:color="D5DEEA" w:sz="1"/>
          <w:insideH w:val="single" w:color="D5DEEA" w:sz="1"/>
          <w:insideV w:val="single" w:color="D5DEEA" w:sz="1"/>
        </w:tblBorders>
      </w:tblPr>
      <w:tblGrid>
        <w:gridCol w:w="4526"/>
        <w:gridCol w:w="4500"/>
      </w:tblGrid>
      <w:tr>
        <w:trPr>
          <w:tblHeader/>
        </w:trPr>
        <w:tc>
          <w:tcPr>
            <w:tcW w:type="dxa" w:w="4526"/>
            <w:shd w:fill="0F2340" w:val="clear"/>
            <w:tcMar>
              <w:top w:type="dxa" w:w="90"/>
              <w:left w:type="dxa" w:w="140"/>
              <w:bottom w:type="dxa" w:w="90"/>
              <w:right w:type="dxa" w:w="140"/>
            </w:tcMar>
            <w:vAlign w:val="center"/>
          </w:tcPr>
          <w:p>
            <w:pPr>
              <w:jc w:val="left"/>
            </w:pPr>
            <w:r>
              <w:rPr>
                <w:b/>
                <w:bCs/>
                <w:color w:val="FFFFFF"/>
                <w:sz w:val="19"/>
                <w:szCs w:val="19"/>
              </w:rPr>
              <w:t xml:space="preserve">Metode Pembayaran</w:t>
            </w:r>
          </w:p>
        </w:tc>
        <w:tc>
          <w:tcPr>
            <w:tcW w:type="dxa" w:w="4500"/>
            <w:shd w:fill="0F2340" w:val="clear"/>
            <w:tcMar>
              <w:top w:type="dxa" w:w="90"/>
              <w:left w:type="dxa" w:w="140"/>
              <w:bottom w:type="dxa" w:w="90"/>
              <w:right w:type="dxa" w:w="140"/>
            </w:tcMar>
            <w:vAlign w:val="center"/>
          </w:tcPr>
          <w:p>
            <w:pPr>
              <w:jc w:val="right"/>
            </w:pPr>
            <w:r>
              <w:rPr>
                <w:b/>
                <w:bCs/>
                <w:color w:val="FFFFFF"/>
                <w:sz w:val="19"/>
                <w:szCs w:val="19"/>
              </w:rPr>
              <w:t xml:space="preserve">Estimasi Skema Biaya (MDR)*</w:t>
            </w:r>
          </w:p>
        </w:tc>
      </w:tr>
      <w:tr>
        <w:tc>
          <w:tcPr>
            <w:tcW w:type="dxa" w:w="4526"/>
            <w:shd w:fill="FFFFFF" w:val="clear"/>
            <w:tcMar>
              <w:top w:type="dxa" w:w="90"/>
              <w:left w:type="dxa" w:w="140"/>
              <w:bottom w:type="dxa" w:w="90"/>
              <w:right w:type="dxa" w:w="140"/>
            </w:tcMar>
            <w:vAlign w:val="center"/>
          </w:tcPr>
          <w:p>
            <w:pPr>
              <w:jc w:val="left"/>
            </w:pPr>
            <w:r>
              <w:rPr>
                <w:b w:val="false"/>
                <w:bCs w:val="false"/>
                <w:color w:val="111827"/>
                <w:sz w:val="19"/>
                <w:szCs w:val="19"/>
              </w:rPr>
              <w:t xml:space="preserve">QRIS</w:t>
            </w:r>
          </w:p>
        </w:tc>
        <w:tc>
          <w:tcPr>
            <w:tcW w:type="dxa" w:w="4500"/>
            <w:shd w:fill="FFFFFF" w:val="clear"/>
            <w:tcMar>
              <w:top w:type="dxa" w:w="90"/>
              <w:left w:type="dxa" w:w="140"/>
              <w:bottom w:type="dxa" w:w="90"/>
              <w:right w:type="dxa" w:w="140"/>
            </w:tcMar>
            <w:vAlign w:val="center"/>
          </w:tcPr>
          <w:p>
            <w:pPr>
              <w:jc w:val="right"/>
            </w:pPr>
            <w:r>
              <w:rPr>
                <w:b w:val="false"/>
                <w:bCs w:val="false"/>
                <w:color w:val="111827"/>
                <w:sz w:val="19"/>
                <w:szCs w:val="19"/>
              </w:rPr>
              <w:t xml:space="preserve">± 0,7% per transaksi</w:t>
            </w:r>
          </w:p>
        </w:tc>
      </w:tr>
      <w:tr>
        <w:tc>
          <w:tcPr>
            <w:tcW w:type="dxa" w:w="4526"/>
            <w:shd w:fill="F2F5F8" w:val="clear"/>
            <w:tcMar>
              <w:top w:type="dxa" w:w="90"/>
              <w:left w:type="dxa" w:w="140"/>
              <w:bottom w:type="dxa" w:w="90"/>
              <w:right w:type="dxa" w:w="140"/>
            </w:tcMar>
            <w:vAlign w:val="center"/>
          </w:tcPr>
          <w:p>
            <w:pPr>
              <w:jc w:val="left"/>
            </w:pPr>
            <w:r>
              <w:rPr>
                <w:b w:val="false"/>
                <w:bCs w:val="false"/>
                <w:color w:val="111827"/>
                <w:sz w:val="19"/>
                <w:szCs w:val="19"/>
              </w:rPr>
              <w:t xml:space="preserve">Virtual Account (transfer bank)</w:t>
            </w:r>
          </w:p>
        </w:tc>
        <w:tc>
          <w:tcPr>
            <w:tcW w:type="dxa" w:w="4500"/>
            <w:shd w:fill="F2F5F8" w:val="clear"/>
            <w:tcMar>
              <w:top w:type="dxa" w:w="90"/>
              <w:left w:type="dxa" w:w="140"/>
              <w:bottom w:type="dxa" w:w="90"/>
              <w:right w:type="dxa" w:w="140"/>
            </w:tcMar>
            <w:vAlign w:val="center"/>
          </w:tcPr>
          <w:p>
            <w:pPr>
              <w:jc w:val="right"/>
            </w:pPr>
            <w:r>
              <w:rPr>
                <w:b w:val="false"/>
                <w:bCs w:val="false"/>
                <w:color w:val="111827"/>
                <w:sz w:val="19"/>
                <w:szCs w:val="19"/>
              </w:rPr>
              <w:t xml:space="preserve">± Rp 4.000 per transaksi</w:t>
            </w:r>
          </w:p>
        </w:tc>
      </w:tr>
      <w:tr>
        <w:tc>
          <w:tcPr>
            <w:tcW w:type="dxa" w:w="4526"/>
            <w:shd w:fill="FFFFFF" w:val="clear"/>
            <w:tcMar>
              <w:top w:type="dxa" w:w="90"/>
              <w:left w:type="dxa" w:w="140"/>
              <w:bottom w:type="dxa" w:w="90"/>
              <w:right w:type="dxa" w:w="140"/>
            </w:tcMar>
            <w:vAlign w:val="center"/>
          </w:tcPr>
          <w:p>
            <w:pPr>
              <w:jc w:val="left"/>
            </w:pPr>
            <w:r>
              <w:rPr>
                <w:b w:val="false"/>
                <w:bCs w:val="false"/>
                <w:color w:val="111827"/>
                <w:sz w:val="19"/>
                <w:szCs w:val="19"/>
              </w:rPr>
              <w:t xml:space="preserve">e-Wallet (GoPay, ShopeePay, OVO, Dana)</w:t>
            </w:r>
          </w:p>
        </w:tc>
        <w:tc>
          <w:tcPr>
            <w:tcW w:type="dxa" w:w="4500"/>
            <w:shd w:fill="FFFFFF" w:val="clear"/>
            <w:tcMar>
              <w:top w:type="dxa" w:w="90"/>
              <w:left w:type="dxa" w:w="140"/>
              <w:bottom w:type="dxa" w:w="90"/>
              <w:right w:type="dxa" w:w="140"/>
            </w:tcMar>
            <w:vAlign w:val="center"/>
          </w:tcPr>
          <w:p>
            <w:pPr>
              <w:jc w:val="right"/>
            </w:pPr>
            <w:r>
              <w:rPr>
                <w:b w:val="false"/>
                <w:bCs w:val="false"/>
                <w:color w:val="111827"/>
                <w:sz w:val="19"/>
                <w:szCs w:val="19"/>
              </w:rPr>
              <w:t xml:space="preserve">± 1,5% – 2% per transaksi</w:t>
            </w:r>
          </w:p>
        </w:tc>
      </w:tr>
      <w:tr>
        <w:tc>
          <w:tcPr>
            <w:tcW w:type="dxa" w:w="4526"/>
            <w:shd w:fill="F2F5F8" w:val="clear"/>
            <w:tcMar>
              <w:top w:type="dxa" w:w="90"/>
              <w:left w:type="dxa" w:w="140"/>
              <w:bottom w:type="dxa" w:w="90"/>
              <w:right w:type="dxa" w:w="140"/>
            </w:tcMar>
            <w:vAlign w:val="center"/>
          </w:tcPr>
          <w:p>
            <w:pPr>
              <w:jc w:val="left"/>
            </w:pPr>
            <w:r>
              <w:rPr>
                <w:b w:val="false"/>
                <w:bCs w:val="false"/>
                <w:color w:val="111827"/>
                <w:sz w:val="19"/>
                <w:szCs w:val="19"/>
              </w:rPr>
              <w:t xml:space="preserve">Kartu Kredit / Debit</w:t>
            </w:r>
          </w:p>
        </w:tc>
        <w:tc>
          <w:tcPr>
            <w:tcW w:type="dxa" w:w="4500"/>
            <w:shd w:fill="F2F5F8" w:val="clear"/>
            <w:tcMar>
              <w:top w:type="dxa" w:w="90"/>
              <w:left w:type="dxa" w:w="140"/>
              <w:bottom w:type="dxa" w:w="90"/>
              <w:right w:type="dxa" w:w="140"/>
            </w:tcMar>
            <w:vAlign w:val="center"/>
          </w:tcPr>
          <w:p>
            <w:pPr>
              <w:jc w:val="right"/>
            </w:pPr>
            <w:r>
              <w:rPr>
                <w:b w:val="false"/>
                <w:bCs w:val="false"/>
                <w:color w:val="111827"/>
                <w:sz w:val="19"/>
                <w:szCs w:val="19"/>
              </w:rPr>
              <w:t xml:space="preserve">± 2,9% + Rp 2.000 per transaksi</w:t>
            </w:r>
          </w:p>
        </w:tc>
      </w:tr>
    </w:tbl>
    <w:p>
      <w:pPr>
        <w:spacing w:after="130"/>
      </w:pPr>
      <w:r>
        <w:rPr>
          <w:i/>
          <w:iCs/>
          <w:color w:val="6B7280"/>
          <w:sz w:val="17"/>
          <w:szCs w:val="17"/>
        </w:rPr>
        <w:t xml:space="preserve">*Angka bersifat estimasi umum sebagai gambaran; tarif final mengikuti ketentuan Midtrans yang berlaku. Sesuai aturan QRIS, biaya MDR tidak dibebankan ke pelanggan.</w:t>
      </w:r>
    </w:p>
    <w:p>
      <w:pPr>
        <w:pStyle w:val="Heading2"/>
      </w:pPr>
      <w:r>
        <w:t xml:space="preserve">2.2 RajaOngkir (Cek Ongkos Kirim)</w:t>
      </w:r>
    </w:p>
    <w:p>
      <w:pPr>
        <w:spacing w:after="130"/>
      </w:pPr>
      <w:r>
        <w:t xml:space="preserve">Tahun pertama menggunakan RajaOngkir (Komerce) Paket Starter yang 100% gratis dengan kuota 100 pengecekan tarif per hari. Sistem telah dilengkapi cache tarif 24 jam dan Tabel Ongkir Cadangan (fallback), sehingga checkout tetap berjalan meski kuota harian tercapai atau layanan sedang gangguan — tanpa perlu upgrade berbayar. Jika volume transaksi tumbuh signifikan di masa depan, paket berbayar dapat dipertimbangkan secara terpisah.</w:t>
      </w:r>
    </w:p>
    <w:p>
      <w:r>
        <w:br w:type="page"/>
      </w:r>
    </w:p>
    <w:p>
      <w:pPr>
        <w:pStyle w:val="Heading1"/>
      </w:pPr>
      <w:r>
        <w:t xml:space="preserve">3. RAB 1 — Biaya Pembuatan Awal (hingga Tahun Pertama)</w:t>
      </w:r>
    </w:p>
    <w:tbl>
      <w:tblPr>
        <w:tblW w:type="dxa" w:w="9026"/>
        <w:tblBorders>
          <w:top w:val="single" w:color="D5DEEA" w:sz="1"/>
          <w:left w:val="single" w:color="D5DEEA" w:sz="1"/>
          <w:bottom w:val="single" w:color="D5DEEA" w:sz="1"/>
          <w:right w:val="single" w:color="D5DEEA" w:sz="1"/>
          <w:insideH w:val="single" w:color="D5DEEA" w:sz="1"/>
          <w:insideV w:val="single" w:color="D5DEEA" w:sz="1"/>
        </w:tblBorders>
      </w:tblPr>
      <w:tblGrid>
        <w:gridCol w:w="560"/>
        <w:gridCol w:w="4466"/>
        <w:gridCol w:w="1333"/>
        <w:gridCol w:w="1333"/>
        <w:gridCol w:w="1334"/>
      </w:tblGrid>
      <w:tr>
        <w:trPr>
          <w:tblHeader/>
        </w:trPr>
        <w:tc>
          <w:tcPr>
            <w:tcW w:type="dxa" w:w="560"/>
            <w:shd w:fill="0F2340" w:val="clear"/>
            <w:tcMar>
              <w:top w:type="dxa" w:w="90"/>
              <w:left w:type="dxa" w:w="140"/>
              <w:bottom w:type="dxa" w:w="90"/>
              <w:right w:type="dxa" w:w="140"/>
            </w:tcMar>
            <w:vAlign w:val="center"/>
          </w:tcPr>
          <w:p>
            <w:pPr>
              <w:jc w:val="center"/>
            </w:pPr>
            <w:r>
              <w:rPr>
                <w:b/>
                <w:bCs/>
                <w:color w:val="FFFFFF"/>
                <w:sz w:val="19"/>
                <w:szCs w:val="19"/>
              </w:rPr>
              <w:t xml:space="preserve">No</w:t>
            </w:r>
          </w:p>
        </w:tc>
        <w:tc>
          <w:tcPr>
            <w:tcW w:type="dxa" w:w="4466"/>
            <w:shd w:fill="0F2340" w:val="clear"/>
            <w:tcMar>
              <w:top w:type="dxa" w:w="90"/>
              <w:left w:type="dxa" w:w="140"/>
              <w:bottom w:type="dxa" w:w="90"/>
              <w:right w:type="dxa" w:w="140"/>
            </w:tcMar>
            <w:vAlign w:val="center"/>
          </w:tcPr>
          <w:p>
            <w:pPr>
              <w:jc w:val="left"/>
            </w:pPr>
            <w:r>
              <w:rPr>
                <w:b/>
                <w:bCs/>
                <w:color w:val="FFFFFF"/>
                <w:sz w:val="19"/>
                <w:szCs w:val="19"/>
              </w:rPr>
              <w:t xml:space="preserve">Komponen Kebutuhan &amp; Spesifikasi</w:t>
            </w:r>
          </w:p>
        </w:tc>
        <w:tc>
          <w:tcPr>
            <w:tcW w:type="dxa" w:w="1333"/>
            <w:shd w:fill="0F2340" w:val="clear"/>
            <w:tcMar>
              <w:top w:type="dxa" w:w="90"/>
              <w:left w:type="dxa" w:w="140"/>
              <w:bottom w:type="dxa" w:w="90"/>
              <w:right w:type="dxa" w:w="140"/>
            </w:tcMar>
            <w:vAlign w:val="center"/>
          </w:tcPr>
          <w:p>
            <w:pPr>
              <w:jc w:val="right"/>
            </w:pPr>
            <w:r>
              <w:rPr>
                <w:b/>
                <w:bCs/>
                <w:color w:val="FFFFFF"/>
                <w:sz w:val="19"/>
                <w:szCs w:val="19"/>
              </w:rPr>
              <w:t xml:space="preserve">Biaya Vendor</w:t>
            </w:r>
          </w:p>
        </w:tc>
        <w:tc>
          <w:tcPr>
            <w:tcW w:type="dxa" w:w="1333"/>
            <w:shd w:fill="0F2340" w:val="clear"/>
            <w:tcMar>
              <w:top w:type="dxa" w:w="90"/>
              <w:left w:type="dxa" w:w="140"/>
              <w:bottom w:type="dxa" w:w="90"/>
              <w:right w:type="dxa" w:w="140"/>
            </w:tcMar>
            <w:vAlign w:val="center"/>
          </w:tcPr>
          <w:p>
            <w:pPr>
              <w:jc w:val="right"/>
            </w:pPr>
            <w:r>
              <w:rPr>
                <w:b/>
                <w:bCs/>
                <w:color w:val="FFFFFF"/>
                <w:sz w:val="19"/>
                <w:szCs w:val="19"/>
              </w:rPr>
              <w:t xml:space="preserve">Biaya Jasa</w:t>
            </w:r>
          </w:p>
        </w:tc>
        <w:tc>
          <w:tcPr>
            <w:tcW w:type="dxa" w:w="1334"/>
            <w:shd w:fill="0F2340" w:val="clear"/>
            <w:tcMar>
              <w:top w:type="dxa" w:w="90"/>
              <w:left w:type="dxa" w:w="140"/>
              <w:bottom w:type="dxa" w:w="90"/>
              <w:right w:type="dxa" w:w="140"/>
            </w:tcMar>
            <w:vAlign w:val="center"/>
          </w:tcPr>
          <w:p>
            <w:pPr>
              <w:jc w:val="right"/>
            </w:pPr>
            <w:r>
              <w:rPr>
                <w:b/>
                <w:bCs/>
                <w:color w:val="FFFFFF"/>
                <w:sz w:val="19"/>
                <w:szCs w:val="19"/>
              </w:rPr>
              <w:t xml:space="preserve">Total</w:t>
            </w:r>
          </w:p>
        </w:tc>
      </w:tr>
      <w:tr>
        <w:tc>
          <w:tcPr>
            <w:tcW w:type="dxa" w:w="560"/>
            <w:shd w:fill="FFFFFF" w:val="clear"/>
            <w:tcMar>
              <w:top w:type="dxa" w:w="90"/>
              <w:left w:type="dxa" w:w="140"/>
              <w:bottom w:type="dxa" w:w="90"/>
              <w:right w:type="dxa" w:w="140"/>
            </w:tcMar>
            <w:vAlign w:val="center"/>
          </w:tcPr>
          <w:p>
            <w:pPr>
              <w:jc w:val="center"/>
            </w:pPr>
            <w:r>
              <w:rPr>
                <w:b w:val="false"/>
                <w:bCs w:val="false"/>
                <w:color w:val="111827"/>
                <w:sz w:val="19"/>
                <w:szCs w:val="19"/>
              </w:rPr>
              <w:t xml:space="preserve">1</w:t>
            </w:r>
          </w:p>
        </w:tc>
        <w:tc>
          <w:tcPr>
            <w:tcW w:type="dxa" w:w="4466"/>
            <w:shd w:fill="FFFFFF" w:val="clear"/>
            <w:tcMar>
              <w:top w:type="dxa" w:w="90"/>
              <w:left w:type="dxa" w:w="140"/>
              <w:bottom w:type="dxa" w:w="90"/>
              <w:right w:type="dxa" w:w="140"/>
            </w:tcMar>
            <w:vAlign w:val="center"/>
          </w:tcPr>
          <w:p>
            <w:pPr>
              <w:jc w:val="left"/>
            </w:pPr>
            <w:r>
              <w:rPr>
                <w:b w:val="false"/>
                <w:bCs w:val="false"/>
                <w:color w:val="111827"/>
                <w:sz w:val="19"/>
                <w:szCs w:val="19"/>
              </w:rPr>
              <w:t xml:space="preserve">Domain &amp; Server (Tahun 1) — Hostinger VPS KVM 2 (2 vCPU, 8GB RAM, 100GB NVMe) + Domain .com/.co.id, termasuk PPN 11% (tagihan tahunan).</w:t>
            </w:r>
          </w:p>
        </w:tc>
        <w:tc>
          <w:tcPr>
            <w:tcW w:type="dxa" w:w="1333"/>
            <w:shd w:fill="FFFFFF" w:val="clear"/>
            <w:tcMar>
              <w:top w:type="dxa" w:w="90"/>
              <w:left w:type="dxa" w:w="140"/>
              <w:bottom w:type="dxa" w:w="90"/>
              <w:right w:type="dxa" w:w="140"/>
            </w:tcMar>
            <w:vAlign w:val="center"/>
          </w:tcPr>
          <w:p>
            <w:pPr>
              <w:jc w:val="right"/>
            </w:pPr>
            <w:r>
              <w:rPr>
                <w:b w:val="false"/>
                <w:bCs w:val="false"/>
                <w:color w:val="111827"/>
                <w:sz w:val="19"/>
                <w:szCs w:val="19"/>
              </w:rPr>
              <w:t xml:space="preserve">2.100.000</w:t>
            </w:r>
          </w:p>
        </w:tc>
        <w:tc>
          <w:tcPr>
            <w:tcW w:type="dxa" w:w="1333"/>
            <w:shd w:fill="FFFFFF" w:val="clear"/>
            <w:tcMar>
              <w:top w:type="dxa" w:w="90"/>
              <w:left w:type="dxa" w:w="140"/>
              <w:bottom w:type="dxa" w:w="90"/>
              <w:right w:type="dxa" w:w="140"/>
            </w:tcMar>
            <w:vAlign w:val="center"/>
          </w:tcPr>
          <w:p>
            <w:pPr>
              <w:jc w:val="right"/>
            </w:pPr>
            <w:r>
              <w:rPr>
                <w:b w:val="false"/>
                <w:bCs w:val="false"/>
                <w:color w:val="111827"/>
                <w:sz w:val="19"/>
                <w:szCs w:val="19"/>
              </w:rPr>
              <w:t xml:space="preserve">0</w:t>
            </w:r>
          </w:p>
        </w:tc>
        <w:tc>
          <w:tcPr>
            <w:tcW w:type="dxa" w:w="1334"/>
            <w:shd w:fill="FFFFFF" w:val="clear"/>
            <w:tcMar>
              <w:top w:type="dxa" w:w="90"/>
              <w:left w:type="dxa" w:w="140"/>
              <w:bottom w:type="dxa" w:w="90"/>
              <w:right w:type="dxa" w:w="140"/>
            </w:tcMar>
            <w:vAlign w:val="center"/>
          </w:tcPr>
          <w:p>
            <w:pPr>
              <w:jc w:val="right"/>
            </w:pPr>
            <w:r>
              <w:rPr>
                <w:b w:val="false"/>
                <w:bCs w:val="false"/>
                <w:color w:val="111827"/>
                <w:sz w:val="19"/>
                <w:szCs w:val="19"/>
              </w:rPr>
              <w:t xml:space="preserve">2.100.000</w:t>
            </w:r>
          </w:p>
        </w:tc>
      </w:tr>
      <w:tr>
        <w:tc>
          <w:tcPr>
            <w:tcW w:type="dxa" w:w="560"/>
            <w:shd w:fill="F2F5F8" w:val="clear"/>
            <w:tcMar>
              <w:top w:type="dxa" w:w="90"/>
              <w:left w:type="dxa" w:w="140"/>
              <w:bottom w:type="dxa" w:w="90"/>
              <w:right w:type="dxa" w:w="140"/>
            </w:tcMar>
            <w:vAlign w:val="center"/>
          </w:tcPr>
          <w:p>
            <w:pPr>
              <w:jc w:val="center"/>
            </w:pPr>
            <w:r>
              <w:rPr>
                <w:b w:val="false"/>
                <w:bCs w:val="false"/>
                <w:color w:val="111827"/>
                <w:sz w:val="19"/>
                <w:szCs w:val="19"/>
              </w:rPr>
              <w:t xml:space="preserve">2</w:t>
            </w:r>
          </w:p>
        </w:tc>
        <w:tc>
          <w:tcPr>
            <w:tcW w:type="dxa" w:w="4466"/>
            <w:shd w:fill="F2F5F8" w:val="clear"/>
            <w:tcMar>
              <w:top w:type="dxa" w:w="90"/>
              <w:left w:type="dxa" w:w="140"/>
              <w:bottom w:type="dxa" w:w="90"/>
              <w:right w:type="dxa" w:w="140"/>
            </w:tcMar>
            <w:vAlign w:val="center"/>
          </w:tcPr>
          <w:p>
            <w:pPr>
              <w:jc w:val="left"/>
            </w:pPr>
            <w:r>
              <w:rPr>
                <w:b w:val="false"/>
                <w:bCs w:val="false"/>
                <w:color w:val="111827"/>
                <w:sz w:val="19"/>
                <w:szCs w:val="19"/>
              </w:rPr>
              <w:t xml:space="preserve">Integrasi API &amp; Payment Gateway — Setup Webhook Midtrans (Production) &amp; konfigurasi RajaOngkir Starter dengan sistem ketahanan cache + fallback.</w:t>
            </w:r>
          </w:p>
        </w:tc>
        <w:tc>
          <w:tcPr>
            <w:tcW w:type="dxa" w:w="1333"/>
            <w:shd w:fill="F2F5F8" w:val="clear"/>
            <w:tcMar>
              <w:top w:type="dxa" w:w="90"/>
              <w:left w:type="dxa" w:w="140"/>
              <w:bottom w:type="dxa" w:w="90"/>
              <w:right w:type="dxa" w:w="140"/>
            </w:tcMar>
            <w:vAlign w:val="center"/>
          </w:tcPr>
          <w:p>
            <w:pPr>
              <w:jc w:val="right"/>
            </w:pPr>
            <w:r>
              <w:rPr>
                <w:b w:val="false"/>
                <w:bCs w:val="false"/>
                <w:color w:val="111827"/>
                <w:sz w:val="19"/>
                <w:szCs w:val="19"/>
              </w:rPr>
              <w:t xml:space="preserve">0</w:t>
            </w:r>
          </w:p>
        </w:tc>
        <w:tc>
          <w:tcPr>
            <w:tcW w:type="dxa" w:w="1333"/>
            <w:shd w:fill="F2F5F8" w:val="clear"/>
            <w:tcMar>
              <w:top w:type="dxa" w:w="90"/>
              <w:left w:type="dxa" w:w="140"/>
              <w:bottom w:type="dxa" w:w="90"/>
              <w:right w:type="dxa" w:w="140"/>
            </w:tcMar>
            <w:vAlign w:val="center"/>
          </w:tcPr>
          <w:p>
            <w:pPr>
              <w:jc w:val="right"/>
            </w:pPr>
            <w:r>
              <w:rPr>
                <w:b w:val="false"/>
                <w:bCs w:val="false"/>
                <w:color w:val="111827"/>
                <w:sz w:val="19"/>
                <w:szCs w:val="19"/>
              </w:rPr>
              <w:t xml:space="preserve">0</w:t>
            </w:r>
          </w:p>
        </w:tc>
        <w:tc>
          <w:tcPr>
            <w:tcW w:type="dxa" w:w="1334"/>
            <w:shd w:fill="F2F5F8" w:val="clear"/>
            <w:tcMar>
              <w:top w:type="dxa" w:w="90"/>
              <w:left w:type="dxa" w:w="140"/>
              <w:bottom w:type="dxa" w:w="90"/>
              <w:right w:type="dxa" w:w="140"/>
            </w:tcMar>
            <w:vAlign w:val="center"/>
          </w:tcPr>
          <w:p>
            <w:pPr>
              <w:jc w:val="right"/>
            </w:pPr>
            <w:r>
              <w:rPr>
                <w:b w:val="false"/>
                <w:bCs w:val="false"/>
                <w:color w:val="111827"/>
                <w:sz w:val="19"/>
                <w:szCs w:val="19"/>
              </w:rPr>
              <w:t xml:space="preserve">0</w:t>
            </w:r>
          </w:p>
        </w:tc>
      </w:tr>
      <w:tr>
        <w:tc>
          <w:tcPr>
            <w:tcW w:type="dxa" w:w="560"/>
            <w:shd w:fill="FFFFFF" w:val="clear"/>
            <w:tcMar>
              <w:top w:type="dxa" w:w="90"/>
              <w:left w:type="dxa" w:w="140"/>
              <w:bottom w:type="dxa" w:w="90"/>
              <w:right w:type="dxa" w:w="140"/>
            </w:tcMar>
            <w:vAlign w:val="center"/>
          </w:tcPr>
          <w:p>
            <w:pPr>
              <w:jc w:val="center"/>
            </w:pPr>
            <w:r>
              <w:rPr>
                <w:b w:val="false"/>
                <w:bCs w:val="false"/>
                <w:color w:val="111827"/>
                <w:sz w:val="19"/>
                <w:szCs w:val="19"/>
              </w:rPr>
              <w:t xml:space="preserve">3</w:t>
            </w:r>
          </w:p>
        </w:tc>
        <w:tc>
          <w:tcPr>
            <w:tcW w:type="dxa" w:w="4466"/>
            <w:shd w:fill="FFFFFF" w:val="clear"/>
            <w:tcMar>
              <w:top w:type="dxa" w:w="90"/>
              <w:left w:type="dxa" w:w="140"/>
              <w:bottom w:type="dxa" w:w="90"/>
              <w:right w:type="dxa" w:w="140"/>
            </w:tcMar>
            <w:vAlign w:val="center"/>
          </w:tcPr>
          <w:p>
            <w:pPr>
              <w:jc w:val="left"/>
            </w:pPr>
            <w:r>
              <w:rPr>
                <w:b w:val="false"/>
                <w:bCs w:val="false"/>
                <w:color w:val="111827"/>
                <w:sz w:val="19"/>
                <w:szCs w:val="19"/>
              </w:rPr>
              <w:t xml:space="preserve">Jasa Borongan (Sistem, Setup &amp; QA) — Pengembangan arsitektur Single Source of Truth berbasis Next.js, Back-Office terintegrasi (master produk, Kasir POS, buku biaya/Ledger), Storefront, pengujian (QA), &amp; deployment server.</w:t>
            </w:r>
          </w:p>
        </w:tc>
        <w:tc>
          <w:tcPr>
            <w:tcW w:type="dxa" w:w="1333"/>
            <w:shd w:fill="FFFFFF" w:val="clear"/>
            <w:tcMar>
              <w:top w:type="dxa" w:w="90"/>
              <w:left w:type="dxa" w:w="140"/>
              <w:bottom w:type="dxa" w:w="90"/>
              <w:right w:type="dxa" w:w="140"/>
            </w:tcMar>
            <w:vAlign w:val="center"/>
          </w:tcPr>
          <w:p>
            <w:pPr>
              <w:jc w:val="right"/>
            </w:pPr>
            <w:r>
              <w:rPr>
                <w:b w:val="false"/>
                <w:bCs w:val="false"/>
                <w:color w:val="111827"/>
                <w:sz w:val="19"/>
                <w:szCs w:val="19"/>
              </w:rPr>
              <w:t xml:space="preserve">0</w:t>
            </w:r>
          </w:p>
        </w:tc>
        <w:tc>
          <w:tcPr>
            <w:tcW w:type="dxa" w:w="1333"/>
            <w:shd w:fill="FFFFFF" w:val="clear"/>
            <w:tcMar>
              <w:top w:type="dxa" w:w="90"/>
              <w:left w:type="dxa" w:w="140"/>
              <w:bottom w:type="dxa" w:w="90"/>
              <w:right w:type="dxa" w:w="140"/>
            </w:tcMar>
            <w:vAlign w:val="center"/>
          </w:tcPr>
          <w:p>
            <w:pPr>
              <w:jc w:val="right"/>
            </w:pPr>
            <w:r>
              <w:rPr>
                <w:b w:val="false"/>
                <w:bCs w:val="false"/>
                <w:color w:val="111827"/>
                <w:sz w:val="19"/>
                <w:szCs w:val="19"/>
              </w:rPr>
              <w:t xml:space="preserve">5.000.000</w:t>
            </w:r>
          </w:p>
        </w:tc>
        <w:tc>
          <w:tcPr>
            <w:tcW w:type="dxa" w:w="1334"/>
            <w:shd w:fill="FFFFFF" w:val="clear"/>
            <w:tcMar>
              <w:top w:type="dxa" w:w="90"/>
              <w:left w:type="dxa" w:w="140"/>
              <w:bottom w:type="dxa" w:w="90"/>
              <w:right w:type="dxa" w:w="140"/>
            </w:tcMar>
            <w:vAlign w:val="center"/>
          </w:tcPr>
          <w:p>
            <w:pPr>
              <w:jc w:val="right"/>
            </w:pPr>
            <w:r>
              <w:rPr>
                <w:b w:val="false"/>
                <w:bCs w:val="false"/>
                <w:color w:val="111827"/>
                <w:sz w:val="19"/>
                <w:szCs w:val="19"/>
              </w:rPr>
              <w:t xml:space="preserve">5.000.000</w:t>
            </w:r>
          </w:p>
        </w:tc>
      </w:tr>
      <w:tr>
        <w:tc>
          <w:tcPr>
            <w:tcW w:type="dxa" w:w="560"/>
            <w:shd w:fill="DCE6F2" w:val="clear"/>
            <w:tcMar>
              <w:top w:type="dxa" w:w="90"/>
              <w:left w:type="dxa" w:w="140"/>
              <w:bottom w:type="dxa" w:w="90"/>
              <w:right w:type="dxa" w:w="140"/>
            </w:tcMar>
            <w:vAlign w:val="center"/>
          </w:tcPr>
          <w:p>
            <w:pPr>
              <w:jc w:val="center"/>
            </w:pPr>
            <w:r>
              <w:rPr>
                <w:b/>
                <w:bCs/>
                <w:color w:val="111827"/>
                <w:sz w:val="19"/>
                <w:szCs w:val="19"/>
              </w:rPr>
              <w:t xml:space="preserve"/>
            </w:r>
          </w:p>
        </w:tc>
        <w:tc>
          <w:tcPr>
            <w:tcW w:type="dxa" w:w="4466"/>
            <w:shd w:fill="DCE6F2" w:val="clear"/>
            <w:tcMar>
              <w:top w:type="dxa" w:w="90"/>
              <w:left w:type="dxa" w:w="140"/>
              <w:bottom w:type="dxa" w:w="90"/>
              <w:right w:type="dxa" w:w="140"/>
            </w:tcMar>
            <w:vAlign w:val="center"/>
          </w:tcPr>
          <w:p>
            <w:pPr>
              <w:jc w:val="left"/>
            </w:pPr>
            <w:r>
              <w:rPr>
                <w:b/>
                <w:bCs/>
                <w:color w:val="111827"/>
                <w:sz w:val="19"/>
                <w:szCs w:val="19"/>
              </w:rPr>
              <w:t xml:space="preserve">TOTAL ANGGARAN TAHUN PERTAMA</w:t>
            </w:r>
          </w:p>
        </w:tc>
        <w:tc>
          <w:tcPr>
            <w:tcW w:type="dxa" w:w="1333"/>
            <w:shd w:fill="DCE6F2" w:val="clear"/>
            <w:tcMar>
              <w:top w:type="dxa" w:w="90"/>
              <w:left w:type="dxa" w:w="140"/>
              <w:bottom w:type="dxa" w:w="90"/>
              <w:right w:type="dxa" w:w="140"/>
            </w:tcMar>
            <w:vAlign w:val="center"/>
          </w:tcPr>
          <w:p>
            <w:pPr>
              <w:jc w:val="right"/>
            </w:pPr>
            <w:r>
              <w:rPr>
                <w:b/>
                <w:bCs/>
                <w:color w:val="111827"/>
                <w:sz w:val="19"/>
                <w:szCs w:val="19"/>
              </w:rPr>
              <w:t xml:space="preserve">2.100.000</w:t>
            </w:r>
          </w:p>
        </w:tc>
        <w:tc>
          <w:tcPr>
            <w:tcW w:type="dxa" w:w="1333"/>
            <w:shd w:fill="DCE6F2" w:val="clear"/>
            <w:tcMar>
              <w:top w:type="dxa" w:w="90"/>
              <w:left w:type="dxa" w:w="140"/>
              <w:bottom w:type="dxa" w:w="90"/>
              <w:right w:type="dxa" w:w="140"/>
            </w:tcMar>
            <w:vAlign w:val="center"/>
          </w:tcPr>
          <w:p>
            <w:pPr>
              <w:jc w:val="right"/>
            </w:pPr>
            <w:r>
              <w:rPr>
                <w:b/>
                <w:bCs/>
                <w:color w:val="111827"/>
                <w:sz w:val="19"/>
                <w:szCs w:val="19"/>
              </w:rPr>
              <w:t xml:space="preserve">5.000.000</w:t>
            </w:r>
          </w:p>
        </w:tc>
        <w:tc>
          <w:tcPr>
            <w:tcW w:type="dxa" w:w="1334"/>
            <w:shd w:fill="DCE6F2" w:val="clear"/>
            <w:tcMar>
              <w:top w:type="dxa" w:w="90"/>
              <w:left w:type="dxa" w:w="140"/>
              <w:bottom w:type="dxa" w:w="90"/>
              <w:right w:type="dxa" w:w="140"/>
            </w:tcMar>
            <w:vAlign w:val="center"/>
          </w:tcPr>
          <w:p>
            <w:pPr>
              <w:jc w:val="right"/>
            </w:pPr>
            <w:r>
              <w:rPr>
                <w:b/>
                <w:bCs/>
                <w:color w:val="111827"/>
                <w:sz w:val="19"/>
                <w:szCs w:val="19"/>
              </w:rPr>
              <w:t xml:space="preserve">7.100.000</w:t>
            </w:r>
          </w:p>
        </w:tc>
      </w:tr>
    </w:tbl>
    <w:p>
      <w:pPr>
        <w:pStyle w:val="Heading1"/>
      </w:pPr>
      <w:r>
        <w:t xml:space="preserve">4. RAB 2 — Biaya Pemeliharaan &amp; Operasional (Tahun Berikutnya)</w:t>
      </w:r>
    </w:p>
    <w:tbl>
      <w:tblPr>
        <w:tblW w:type="dxa" w:w="9026"/>
        <w:tblBorders>
          <w:top w:val="single" w:color="D5DEEA" w:sz="1"/>
          <w:left w:val="single" w:color="D5DEEA" w:sz="1"/>
          <w:bottom w:val="single" w:color="D5DEEA" w:sz="1"/>
          <w:right w:val="single" w:color="D5DEEA" w:sz="1"/>
          <w:insideH w:val="single" w:color="D5DEEA" w:sz="1"/>
          <w:insideV w:val="single" w:color="D5DEEA" w:sz="1"/>
        </w:tblBorders>
      </w:tblPr>
      <w:tblGrid>
        <w:gridCol w:w="560"/>
        <w:gridCol w:w="4066"/>
        <w:gridCol w:w="1300"/>
        <w:gridCol w:w="1550"/>
        <w:gridCol w:w="1550"/>
      </w:tblGrid>
      <w:tr>
        <w:trPr>
          <w:tblHeader/>
        </w:trPr>
        <w:tc>
          <w:tcPr>
            <w:tcW w:type="dxa" w:w="560"/>
            <w:shd w:fill="0F2340" w:val="clear"/>
            <w:tcMar>
              <w:top w:type="dxa" w:w="90"/>
              <w:left w:type="dxa" w:w="140"/>
              <w:bottom w:type="dxa" w:w="90"/>
              <w:right w:type="dxa" w:w="140"/>
            </w:tcMar>
            <w:vAlign w:val="center"/>
          </w:tcPr>
          <w:p>
            <w:pPr>
              <w:jc w:val="center"/>
            </w:pPr>
            <w:r>
              <w:rPr>
                <w:b/>
                <w:bCs/>
                <w:color w:val="FFFFFF"/>
                <w:sz w:val="19"/>
                <w:szCs w:val="19"/>
              </w:rPr>
              <w:t xml:space="preserve">No</w:t>
            </w:r>
          </w:p>
        </w:tc>
        <w:tc>
          <w:tcPr>
            <w:tcW w:type="dxa" w:w="4066"/>
            <w:shd w:fill="0F2340" w:val="clear"/>
            <w:tcMar>
              <w:top w:type="dxa" w:w="90"/>
              <w:left w:type="dxa" w:w="140"/>
              <w:bottom w:type="dxa" w:w="90"/>
              <w:right w:type="dxa" w:w="140"/>
            </w:tcMar>
            <w:vAlign w:val="center"/>
          </w:tcPr>
          <w:p>
            <w:pPr>
              <w:jc w:val="left"/>
            </w:pPr>
            <w:r>
              <w:rPr>
                <w:b/>
                <w:bCs/>
                <w:color w:val="FFFFFF"/>
                <w:sz w:val="19"/>
                <w:szCs w:val="19"/>
              </w:rPr>
              <w:t xml:space="preserve">Komponen Pemeliharaan Rutin</w:t>
            </w:r>
          </w:p>
        </w:tc>
        <w:tc>
          <w:tcPr>
            <w:tcW w:type="dxa" w:w="1300"/>
            <w:shd w:fill="0F2340" w:val="clear"/>
            <w:tcMar>
              <w:top w:type="dxa" w:w="90"/>
              <w:left w:type="dxa" w:w="140"/>
              <w:bottom w:type="dxa" w:w="90"/>
              <w:right w:type="dxa" w:w="140"/>
            </w:tcMar>
            <w:vAlign w:val="center"/>
          </w:tcPr>
          <w:p>
            <w:pPr>
              <w:jc w:val="right"/>
            </w:pPr>
            <w:r>
              <w:rPr>
                <w:b/>
                <w:bCs/>
                <w:color w:val="FFFFFF"/>
                <w:sz w:val="19"/>
                <w:szCs w:val="19"/>
              </w:rPr>
              <w:t xml:space="preserve">Vendor</w:t>
            </w:r>
          </w:p>
        </w:tc>
        <w:tc>
          <w:tcPr>
            <w:tcW w:type="dxa" w:w="1550"/>
            <w:shd w:fill="0F2340" w:val="clear"/>
            <w:tcMar>
              <w:top w:type="dxa" w:w="90"/>
              <w:left w:type="dxa" w:w="140"/>
              <w:bottom w:type="dxa" w:w="90"/>
              <w:right w:type="dxa" w:w="140"/>
            </w:tcMar>
            <w:vAlign w:val="center"/>
          </w:tcPr>
          <w:p>
            <w:pPr>
              <w:jc w:val="right"/>
            </w:pPr>
            <w:r>
              <w:rPr>
                <w:b/>
                <w:bCs/>
                <w:color w:val="FFFFFF"/>
                <w:sz w:val="19"/>
                <w:szCs w:val="19"/>
              </w:rPr>
              <w:t xml:space="preserve">Jasa</w:t>
            </w:r>
          </w:p>
        </w:tc>
        <w:tc>
          <w:tcPr>
            <w:tcW w:type="dxa" w:w="1550"/>
            <w:shd w:fill="0F2340" w:val="clear"/>
            <w:tcMar>
              <w:top w:type="dxa" w:w="90"/>
              <w:left w:type="dxa" w:w="140"/>
              <w:bottom w:type="dxa" w:w="90"/>
              <w:right w:type="dxa" w:w="140"/>
            </w:tcMar>
            <w:vAlign w:val="center"/>
          </w:tcPr>
          <w:p>
            <w:pPr>
              <w:jc w:val="right"/>
            </w:pPr>
            <w:r>
              <w:rPr>
                <w:b/>
                <w:bCs/>
                <w:color w:val="FFFFFF"/>
                <w:sz w:val="19"/>
                <w:szCs w:val="19"/>
              </w:rPr>
              <w:t xml:space="preserve">Rentang Total / Tahun</w:t>
            </w:r>
          </w:p>
        </w:tc>
      </w:tr>
      <w:tr>
        <w:tc>
          <w:tcPr>
            <w:tcW w:type="dxa" w:w="560"/>
            <w:shd w:fill="FFFFFF" w:val="clear"/>
            <w:tcMar>
              <w:top w:type="dxa" w:w="90"/>
              <w:left w:type="dxa" w:w="140"/>
              <w:bottom w:type="dxa" w:w="90"/>
              <w:right w:type="dxa" w:w="140"/>
            </w:tcMar>
            <w:vAlign w:val="center"/>
          </w:tcPr>
          <w:p>
            <w:pPr>
              <w:jc w:val="center"/>
            </w:pPr>
            <w:r>
              <w:rPr>
                <w:b w:val="false"/>
                <w:bCs w:val="false"/>
                <w:color w:val="111827"/>
                <w:sz w:val="19"/>
                <w:szCs w:val="19"/>
              </w:rPr>
              <w:t xml:space="preserve">1</w:t>
            </w:r>
          </w:p>
        </w:tc>
        <w:tc>
          <w:tcPr>
            <w:tcW w:type="dxa" w:w="4066"/>
            <w:shd w:fill="FFFFFF" w:val="clear"/>
            <w:tcMar>
              <w:top w:type="dxa" w:w="90"/>
              <w:left w:type="dxa" w:w="140"/>
              <w:bottom w:type="dxa" w:w="90"/>
              <w:right w:type="dxa" w:w="140"/>
            </w:tcMar>
            <w:vAlign w:val="center"/>
          </w:tcPr>
          <w:p>
            <w:pPr>
              <w:jc w:val="left"/>
            </w:pPr>
            <w:r>
              <w:rPr>
                <w:b w:val="false"/>
                <w:bCs w:val="false"/>
                <w:color w:val="111827"/>
                <w:sz w:val="19"/>
                <w:szCs w:val="19"/>
              </w:rPr>
              <w:t xml:space="preserve">Perpanjangan Infrastruktur Hostinger — perpanjangan sewa VPS KVM 2 &amp; Domain (.com/.co.id) mengikuti skema harga renewal reguler vendor.</w:t>
            </w:r>
          </w:p>
        </w:tc>
        <w:tc>
          <w:tcPr>
            <w:tcW w:type="dxa" w:w="1300"/>
            <w:shd w:fill="FFFFFF" w:val="clear"/>
            <w:tcMar>
              <w:top w:type="dxa" w:w="90"/>
              <w:left w:type="dxa" w:w="140"/>
              <w:bottom w:type="dxa" w:w="90"/>
              <w:right w:type="dxa" w:w="140"/>
            </w:tcMar>
            <w:vAlign w:val="center"/>
          </w:tcPr>
          <w:p>
            <w:pPr>
              <w:jc w:val="right"/>
            </w:pPr>
            <w:r>
              <w:rPr>
                <w:b w:val="false"/>
                <w:bCs w:val="false"/>
                <w:color w:val="111827"/>
                <w:sz w:val="19"/>
                <w:szCs w:val="19"/>
              </w:rPr>
              <w:t xml:space="preserve">2.500.000</w:t>
            </w:r>
          </w:p>
        </w:tc>
        <w:tc>
          <w:tcPr>
            <w:tcW w:type="dxa" w:w="1550"/>
            <w:shd w:fill="FFFFFF" w:val="clear"/>
            <w:tcMar>
              <w:top w:type="dxa" w:w="90"/>
              <w:left w:type="dxa" w:w="140"/>
              <w:bottom w:type="dxa" w:w="90"/>
              <w:right w:type="dxa" w:w="140"/>
            </w:tcMar>
            <w:vAlign w:val="center"/>
          </w:tcPr>
          <w:p>
            <w:pPr>
              <w:jc w:val="right"/>
            </w:pPr>
            <w:r>
              <w:rPr>
                <w:b w:val="false"/>
                <w:bCs w:val="false"/>
                <w:color w:val="111827"/>
                <w:sz w:val="19"/>
                <w:szCs w:val="19"/>
              </w:rPr>
              <w:t xml:space="preserve">0</w:t>
            </w:r>
          </w:p>
        </w:tc>
        <w:tc>
          <w:tcPr>
            <w:tcW w:type="dxa" w:w="1550"/>
            <w:shd w:fill="FFFFFF" w:val="clear"/>
            <w:tcMar>
              <w:top w:type="dxa" w:w="90"/>
              <w:left w:type="dxa" w:w="140"/>
              <w:bottom w:type="dxa" w:w="90"/>
              <w:right w:type="dxa" w:w="140"/>
            </w:tcMar>
            <w:vAlign w:val="center"/>
          </w:tcPr>
          <w:p>
            <w:pPr>
              <w:jc w:val="right"/>
            </w:pPr>
            <w:r>
              <w:rPr>
                <w:b w:val="false"/>
                <w:bCs w:val="false"/>
                <w:color w:val="111827"/>
                <w:sz w:val="19"/>
                <w:szCs w:val="19"/>
              </w:rPr>
              <w:t xml:space="preserve">2.500.000</w:t>
            </w:r>
          </w:p>
        </w:tc>
      </w:tr>
      <w:tr>
        <w:tc>
          <w:tcPr>
            <w:tcW w:type="dxa" w:w="560"/>
            <w:shd w:fill="F2F5F8" w:val="clear"/>
            <w:tcMar>
              <w:top w:type="dxa" w:w="90"/>
              <w:left w:type="dxa" w:w="140"/>
              <w:bottom w:type="dxa" w:w="90"/>
              <w:right w:type="dxa" w:w="140"/>
            </w:tcMar>
            <w:vAlign w:val="center"/>
          </w:tcPr>
          <w:p>
            <w:pPr>
              <w:jc w:val="center"/>
            </w:pPr>
            <w:r>
              <w:rPr>
                <w:b w:val="false"/>
                <w:bCs w:val="false"/>
                <w:color w:val="111827"/>
                <w:sz w:val="19"/>
                <w:szCs w:val="19"/>
              </w:rPr>
              <w:t xml:space="preserve">2</w:t>
            </w:r>
          </w:p>
        </w:tc>
        <w:tc>
          <w:tcPr>
            <w:tcW w:type="dxa" w:w="4066"/>
            <w:shd w:fill="F2F5F8" w:val="clear"/>
            <w:tcMar>
              <w:top w:type="dxa" w:w="90"/>
              <w:left w:type="dxa" w:w="140"/>
              <w:bottom w:type="dxa" w:w="90"/>
              <w:right w:type="dxa" w:w="140"/>
            </w:tcMar>
            <w:vAlign w:val="center"/>
          </w:tcPr>
          <w:p>
            <w:pPr>
              <w:jc w:val="left"/>
            </w:pPr>
            <w:r>
              <w:rPr>
                <w:b w:val="false"/>
                <w:bCs w:val="false"/>
                <w:color w:val="111827"/>
                <w:sz w:val="19"/>
                <w:szCs w:val="19"/>
              </w:rPr>
              <w:t xml:space="preserve">Jasa Pemeliharaan &amp; Keamanan Berkala — backup database otomatis bulanan ke cloud eksternal, audit keamanan/error log, perbaikan bug ringan, serta patch agar tetap kompatibel dengan browser terbaru.</w:t>
            </w:r>
          </w:p>
        </w:tc>
        <w:tc>
          <w:tcPr>
            <w:tcW w:type="dxa" w:w="1300"/>
            <w:shd w:fill="F2F5F8" w:val="clear"/>
            <w:tcMar>
              <w:top w:type="dxa" w:w="90"/>
              <w:left w:type="dxa" w:w="140"/>
              <w:bottom w:type="dxa" w:w="90"/>
              <w:right w:type="dxa" w:w="140"/>
            </w:tcMar>
            <w:vAlign w:val="center"/>
          </w:tcPr>
          <w:p>
            <w:pPr>
              <w:jc w:val="right"/>
            </w:pPr>
            <w:r>
              <w:rPr>
                <w:b w:val="false"/>
                <w:bCs w:val="false"/>
                <w:color w:val="111827"/>
                <w:sz w:val="19"/>
                <w:szCs w:val="19"/>
              </w:rPr>
              <w:t xml:space="preserve">0</w:t>
            </w:r>
          </w:p>
        </w:tc>
        <w:tc>
          <w:tcPr>
            <w:tcW w:type="dxa" w:w="1550"/>
            <w:shd w:fill="F2F5F8" w:val="clear"/>
            <w:tcMar>
              <w:top w:type="dxa" w:w="90"/>
              <w:left w:type="dxa" w:w="140"/>
              <w:bottom w:type="dxa" w:w="90"/>
              <w:right w:type="dxa" w:w="140"/>
            </w:tcMar>
            <w:vAlign w:val="center"/>
          </w:tcPr>
          <w:p>
            <w:pPr>
              <w:jc w:val="right"/>
            </w:pPr>
            <w:r>
              <w:rPr>
                <w:b w:val="false"/>
                <w:bCs w:val="false"/>
                <w:color w:val="111827"/>
                <w:sz w:val="19"/>
                <w:szCs w:val="19"/>
              </w:rPr>
              <w:t xml:space="preserve">500.000 – 1.500.000</w:t>
            </w:r>
          </w:p>
        </w:tc>
        <w:tc>
          <w:tcPr>
            <w:tcW w:type="dxa" w:w="1550"/>
            <w:shd w:fill="F2F5F8" w:val="clear"/>
            <w:tcMar>
              <w:top w:type="dxa" w:w="90"/>
              <w:left w:type="dxa" w:w="140"/>
              <w:bottom w:type="dxa" w:w="90"/>
              <w:right w:type="dxa" w:w="140"/>
            </w:tcMar>
            <w:vAlign w:val="center"/>
          </w:tcPr>
          <w:p>
            <w:pPr>
              <w:jc w:val="right"/>
            </w:pPr>
            <w:r>
              <w:rPr>
                <w:b w:val="false"/>
                <w:bCs w:val="false"/>
                <w:color w:val="111827"/>
                <w:sz w:val="19"/>
                <w:szCs w:val="19"/>
              </w:rPr>
              <w:t xml:space="preserve">500.000 – 1.500.000</w:t>
            </w:r>
          </w:p>
        </w:tc>
      </w:tr>
      <w:tr>
        <w:tc>
          <w:tcPr>
            <w:tcW w:type="dxa" w:w="560"/>
            <w:shd w:fill="DCE6F2" w:val="clear"/>
            <w:tcMar>
              <w:top w:type="dxa" w:w="90"/>
              <w:left w:type="dxa" w:w="140"/>
              <w:bottom w:type="dxa" w:w="90"/>
              <w:right w:type="dxa" w:w="140"/>
            </w:tcMar>
            <w:vAlign w:val="center"/>
          </w:tcPr>
          <w:p>
            <w:pPr>
              <w:jc w:val="center"/>
            </w:pPr>
            <w:r>
              <w:rPr>
                <w:b/>
                <w:bCs/>
                <w:color w:val="111827"/>
                <w:sz w:val="19"/>
                <w:szCs w:val="19"/>
              </w:rPr>
              <w:t xml:space="preserve"/>
            </w:r>
          </w:p>
        </w:tc>
        <w:tc>
          <w:tcPr>
            <w:tcW w:type="dxa" w:w="4066"/>
            <w:shd w:fill="DCE6F2" w:val="clear"/>
            <w:tcMar>
              <w:top w:type="dxa" w:w="90"/>
              <w:left w:type="dxa" w:w="140"/>
              <w:bottom w:type="dxa" w:w="90"/>
              <w:right w:type="dxa" w:w="140"/>
            </w:tcMar>
            <w:vAlign w:val="center"/>
          </w:tcPr>
          <w:p>
            <w:pPr>
              <w:jc w:val="left"/>
            </w:pPr>
            <w:r>
              <w:rPr>
                <w:b/>
                <w:bCs/>
                <w:color w:val="111827"/>
                <w:sz w:val="19"/>
                <w:szCs w:val="19"/>
              </w:rPr>
              <w:t xml:space="preserve">BIAYA PER TAHUN</w:t>
            </w:r>
          </w:p>
        </w:tc>
        <w:tc>
          <w:tcPr>
            <w:tcW w:type="dxa" w:w="1300"/>
            <w:shd w:fill="DCE6F2" w:val="clear"/>
            <w:tcMar>
              <w:top w:type="dxa" w:w="90"/>
              <w:left w:type="dxa" w:w="140"/>
              <w:bottom w:type="dxa" w:w="90"/>
              <w:right w:type="dxa" w:w="140"/>
            </w:tcMar>
            <w:vAlign w:val="center"/>
          </w:tcPr>
          <w:p>
            <w:pPr>
              <w:jc w:val="right"/>
            </w:pPr>
            <w:r>
              <w:rPr>
                <w:b/>
                <w:bCs/>
                <w:color w:val="111827"/>
                <w:sz w:val="19"/>
                <w:szCs w:val="19"/>
              </w:rPr>
              <w:t xml:space="preserve">2.500.000</w:t>
            </w:r>
          </w:p>
        </w:tc>
        <w:tc>
          <w:tcPr>
            <w:tcW w:type="dxa" w:w="1550"/>
            <w:shd w:fill="DCE6F2" w:val="clear"/>
            <w:tcMar>
              <w:top w:type="dxa" w:w="90"/>
              <w:left w:type="dxa" w:w="140"/>
              <w:bottom w:type="dxa" w:w="90"/>
              <w:right w:type="dxa" w:w="140"/>
            </w:tcMar>
            <w:vAlign w:val="center"/>
          </w:tcPr>
          <w:p>
            <w:pPr>
              <w:jc w:val="right"/>
            </w:pPr>
            <w:r>
              <w:rPr>
                <w:b/>
                <w:bCs/>
                <w:color w:val="111827"/>
                <w:sz w:val="19"/>
                <w:szCs w:val="19"/>
              </w:rPr>
              <w:t xml:space="preserve">500.000 – 1.500.000</w:t>
            </w:r>
          </w:p>
        </w:tc>
        <w:tc>
          <w:tcPr>
            <w:tcW w:type="dxa" w:w="1550"/>
            <w:shd w:fill="DCE6F2" w:val="clear"/>
            <w:tcMar>
              <w:top w:type="dxa" w:w="90"/>
              <w:left w:type="dxa" w:w="140"/>
              <w:bottom w:type="dxa" w:w="90"/>
              <w:right w:type="dxa" w:w="140"/>
            </w:tcMar>
            <w:vAlign w:val="center"/>
          </w:tcPr>
          <w:p>
            <w:pPr>
              <w:jc w:val="right"/>
            </w:pPr>
            <w:r>
              <w:rPr>
                <w:b/>
                <w:bCs/>
                <w:color w:val="111827"/>
                <w:sz w:val="19"/>
                <w:szCs w:val="19"/>
              </w:rPr>
              <w:t xml:space="preserve">3.000.000 – 4.000.000</w:t>
            </w:r>
          </w:p>
        </w:tc>
      </w:tr>
    </w:tbl>
    <w:p>
      <w:r>
        <w:br w:type="page"/>
      </w:r>
    </w:p>
    <w:p>
      <w:pPr>
        <w:pStyle w:val="Heading1"/>
      </w:pPr>
      <w:r>
        <w:t xml:space="preserve">5. Ruang Lingkup Pekerjaan &amp; Ketentuan Kerja Sama</w:t>
      </w:r>
    </w:p>
    <w:p>
      <w:pPr>
        <w:spacing w:after="130"/>
      </w:pPr>
      <w:r>
        <w:t xml:space="preserve">Untuk menjaga kejelasan hasil, ketepatan jadwal, dan transparansi biaya bagi kedua belah pihak, disepakati ketentuan pelaksanaan berikut:</w:t>
      </w:r>
    </w:p>
    <w:p>
      <w:pPr>
        <w:pStyle w:val="ListParagraph"/>
        <w:numPr>
          <w:ilvl w:val="0"/>
          <w:numId w:val="2"/>
        </w:numPr>
        <w:spacing w:after="90"/>
      </w:pPr>
      <w:r>
        <w:rPr>
          <w:b/>
          <w:bCs/>
        </w:rPr>
        <w:t xml:space="preserve">Ruang lingkup berbasis SRS. </w:t>
      </w:r>
      <w:r>
        <w:t xml:space="preserve">Pengembangan mencakup seluruh fitur Fase 1 sebagaimana dirinci pada dokumen SRS, sehingga hasil akhir terukur dan sesuai ekspektasi. Permintaan fitur tambahan di luar SRS Fase 1 tetap dapat dilayani melalui addendum tersendiri — lengkap dengan estimasi biaya dan waktu — agar perencanaan tetap transparan dan terkendali.</w:t>
      </w:r>
    </w:p>
    <w:p>
      <w:pPr>
        <w:pStyle w:val="ListParagraph"/>
        <w:numPr>
          <w:ilvl w:val="0"/>
          <w:numId w:val="2"/>
        </w:numPr>
        <w:spacing w:after="90"/>
      </w:pPr>
      <w:r>
        <w:rPr>
          <w:b/>
          <w:bCs/>
        </w:rPr>
        <w:t xml:space="preserve">Penyesuaian tampilan (UI). </w:t>
      </w:r>
      <w:r>
        <w:t xml:space="preserve">Paket sudah mencakup hingga 3 putaran penyesuaian tampilan (kosmetik) setelah sesi uji terima (UAT), untuk memastikan hasil akhir sesuai preferensi visual Anda. Penyesuaian lanjutan dapat ditambahkan sesuai kebutuhan.</w:t>
      </w:r>
    </w:p>
    <w:p>
      <w:pPr>
        <w:pStyle w:val="ListParagraph"/>
        <w:numPr>
          <w:ilvl w:val="0"/>
          <w:numId w:val="2"/>
        </w:numPr>
        <w:spacing w:after="90"/>
      </w:pPr>
      <w:r>
        <w:rPr>
          <w:b/>
          <w:bCs/>
        </w:rPr>
        <w:t xml:space="preserve">Masa pemeliharaan pasca-peluncuran. </w:t>
      </w:r>
      <w:r>
        <w:t xml:space="preserve">Perbaikan bug pada fitur yang berada dalam ruang lingkup ditangani tanpa biaya tambahan selama 30 hari setelah serah terima sistem.</w:t>
      </w:r>
    </w:p>
    <w:p>
      <w:pPr>
        <w:pStyle w:val="ListParagraph"/>
        <w:numPr>
          <w:ilvl w:val="0"/>
          <w:numId w:val="2"/>
        </w:numPr>
        <w:spacing w:after="90"/>
      </w:pPr>
      <w:r>
        <w:rPr>
          <w:b/>
          <w:bCs/>
        </w:rPr>
        <w:t xml:space="preserve">Kepastian biaya operasional. </w:t>
      </w:r>
      <w:r>
        <w:t xml:space="preserve">Biaya tahun-tahun berikutnya (RAB 2) dijamin tidak melebihi Rp 4.000.000 per tahun, memberikan kepastian arus kas jangka panjang bagi perusahaan.</w:t>
      </w:r>
    </w:p>
    <w:p>
      <w:pPr>
        <w:pStyle w:val="ListParagraph"/>
        <w:numPr>
          <w:ilvl w:val="0"/>
          <w:numId w:val="2"/>
        </w:numPr>
        <w:spacing w:after="90"/>
      </w:pPr>
      <w:r>
        <w:rPr>
          <w:b/>
          <w:bCs/>
        </w:rPr>
        <w:t xml:space="preserve">Serah terima &amp; kepemilikan. </w:t>
      </w:r>
      <w:r>
        <w:t xml:space="preserve">Seluruh kode sumber, basis data, dan akses sistem menjadi milik Pemilik Proyek dan diserahkan setelah pelunasan.</w:t>
      </w:r>
    </w:p>
    <w:p>
      <w:pPr>
        <w:pStyle w:val="Heading1"/>
      </w:pPr>
      <w:r>
        <w:t xml:space="preserve">6. Asumsi &amp; Hal yang Belum Termasuk</w:t>
      </w:r>
    </w:p>
    <w:p>
      <w:pPr>
        <w:spacing w:after="130"/>
      </w:pPr>
      <w:r>
        <w:t xml:space="preserve">Agar anggaran tetap jelas, berikut hal-hal yang berada di luar lingkup biaya pengembangan ini:</w:t>
      </w:r>
    </w:p>
    <w:p>
      <w:pPr>
        <w:pStyle w:val="ListParagraph"/>
        <w:numPr>
          <w:ilvl w:val="0"/>
          <w:numId w:val="2"/>
        </w:numPr>
        <w:spacing w:after="90"/>
      </w:pPr>
      <w:r>
        <w:rPr>
          <w:b/>
          <w:bCs/>
        </w:rPr>
        <w:t xml:space="preserve">Konten awal. </w:t>
      </w:r>
      <w:r>
        <w:t xml:space="preserve">Materi seperti teks, foto produk, dan logo disediakan oleh Pemilik Proyek; sistem menyediakan CMS untuk mengelolanya secara mandiri.</w:t>
      </w:r>
    </w:p>
    <w:p>
      <w:pPr>
        <w:pStyle w:val="ListParagraph"/>
        <w:numPr>
          <w:ilvl w:val="0"/>
          <w:numId w:val="2"/>
        </w:numPr>
        <w:spacing w:after="90"/>
      </w:pPr>
      <w:r>
        <w:rPr>
          <w:b/>
          <w:bCs/>
        </w:rPr>
        <w:t xml:space="preserve">Biaya transaksi. </w:t>
      </w:r>
      <w:r>
        <w:t xml:space="preserve">Potongan MDR Midtrans bersifat operasional per transaksi (mengikuti omzet) dan berada di luar biaya pengembangan.</w:t>
      </w:r>
    </w:p>
    <w:p>
      <w:pPr>
        <w:pStyle w:val="ListParagraph"/>
        <w:numPr>
          <w:ilvl w:val="0"/>
          <w:numId w:val="2"/>
        </w:numPr>
        <w:spacing w:after="90"/>
      </w:pPr>
      <w:r>
        <w:rPr>
          <w:b/>
          <w:bCs/>
        </w:rPr>
        <w:t xml:space="preserve">Kuota ongkir lanjutan. </w:t>
      </w:r>
      <w:r>
        <w:t xml:space="preserve">Upgrade RajaOngkir berbayar (bila volume melampaui kuota gratis) tidak termasuk pada anggaran tahun pertama.</w:t>
      </w:r>
    </w:p>
    <w:p>
      <w:pPr>
        <w:pStyle w:val="ListParagraph"/>
        <w:numPr>
          <w:ilvl w:val="0"/>
          <w:numId w:val="2"/>
        </w:numPr>
        <w:spacing w:after="90"/>
      </w:pPr>
      <w:r>
        <w:rPr>
          <w:b/>
          <w:bCs/>
        </w:rPr>
        <w:t xml:space="preserve">Integrasi marketplace. </w:t>
      </w:r>
      <w:r>
        <w:t xml:space="preserve">Tidak ada koneksi API langsung ke marketplace; transaksi e-commerce dicatat secara manual melalui back-office, lalu divalidasi saat dana masuk rekening.</w:t>
      </w:r>
    </w:p>
    <w:p>
      <w:pPr>
        <w:pStyle w:val="ListParagraph"/>
        <w:numPr>
          <w:ilvl w:val="0"/>
          <w:numId w:val="2"/>
        </w:numPr>
        <w:spacing w:after="90"/>
      </w:pPr>
      <w:r>
        <w:rPr>
          <w:b/>
          <w:bCs/>
        </w:rPr>
        <w:t xml:space="preserve">Layanan opsional pihak ketiga. </w:t>
      </w:r>
      <w:r>
        <w:t xml:space="preserve">Misalnya email/SMS massal, atau sertifikat khusus, bila diperlukan akan dianggarkan terpisah.</w:t>
      </w:r>
    </w:p>
    <w:p>
      <w:pPr>
        <w:pStyle w:val="Heading1"/>
      </w:pPr>
      <w:r>
        <w:t xml:space="preserve">7. Penutup</w:t>
      </w:r>
    </w:p>
    <w:p>
      <w:pPr>
        <w:spacing w:after="130"/>
      </w:pPr>
      <w:r>
        <w:t xml:space="preserve">Anggaran pada dokumen ini berlaku selama 30 hari sejak tanggal penerbitan dan dapat disesuaikan apabila terdapat perubahan ruang lingkup atau harga vendor. Kami berkomitmen menghadirkan sistem yang andal, efisien, dan mudah dioperasikan untuk mendukung pertumbuhan usaha Anda.</w:t>
      </w:r>
    </w:p>
    <w:p>
      <w:r>
        <w:t xml:space="preserve"/>
      </w:r>
    </w:p>
    <w:p>
      <w:pPr>
        <w:spacing w:after="130"/>
      </w:pPr>
      <w:r>
        <w:t xml:space="preserve">Hormat kami,</w:t>
      </w:r>
    </w:p>
    <w:p>
      <w:r>
        <w:t xml:space="preserve"/>
      </w:r>
    </w:p>
    <w:p>
      <w:pPr>
        <w:spacing w:after="130"/>
      </w:pPr>
      <w:r>
        <w:rPr>
          <w:color w:val="6B7280"/>
        </w:rPr>
        <w:t xml:space="preserve">__________________________</w:t>
      </w:r>
    </w:p>
    <w:p>
      <w:pPr>
        <w:spacing w:after="130"/>
      </w:pPr>
      <w:r>
        <w:rPr>
          <w:b/>
          <w:bCs/>
        </w:rPr>
        <w:t xml:space="preserve">Tim Pengembang SI4CARE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Halaman </w:t>
    </w:r>
    <w:r>
      <w:rPr>
        <w:color w:val="9CA3AF"/>
        <w:sz w:val="16"/>
        <w:szCs w:val="16"/>
      </w:rPr>
      <w:fldChar w:fldCharType="begin"/>
      <w:instrText xml:space="preserve">PAGE</w:instrText>
      <w:fldChar w:fldCharType="separate"/>
      <w:fldChar w:fldCharType="end"/>
    </w:r>
    <w:r>
      <w:rPr>
        <w:color w:val="9CA3AF"/>
        <w:sz w:val="16"/>
        <w:szCs w:val="16"/>
      </w:rPr>
      <w:t xml:space="preserve"> dari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RAB · SI4CARE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168AE" w:sz="6" w:space="6"/>
      </w:pBdr>
      <w:spacing w:after="150" w:before="300"/>
      <w:outlineLvl w:val="0"/>
    </w:pPr>
    <w:rPr>
      <w:rFonts w:ascii="Arial" w:cs="Arial" w:eastAsia="Arial" w:hAnsi="Arial"/>
      <w:b/>
      <w:bCs/>
      <w:color w:val="0F2340"/>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2168A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2026-06-06T15:45:05.055Z</dcterms:created>
  <dcterms:modified xsi:type="dcterms:W3CDTF">2026-06-06T15:45:05.055Z</dcterms:modified>
</cp:coreProperties>
</file>

<file path=docProps/custom.xml><?xml version="1.0" encoding="utf-8"?>
<Properties xmlns="http://schemas.openxmlformats.org/officeDocument/2006/custom-properties" xmlns:vt="http://schemas.openxmlformats.org/officeDocument/2006/docPropsVTypes"/>
</file>