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45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Severance vs. Consulting Income: When Self-Employment Planning Actually Applies</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Severance vs. Consulting Income: When Self-Employment Planning Actually Applies</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Once a salary is recognized as too low, fix it going forward: raise the salary and run it consistently through payroll. Correcting the practice does not close off prior years — they stay open to IRS reclassification until the statute of limitations runs, and in some cases filing corrected payroll returns (Form 941-X) is the better course, so exposure for open years should be evaluated rather than assumed away.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IRC § 45E (as expanded by the SECURE 2.0 Act)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a ceiling of roughly $80,000 (the § 415(c) annual-additions limit plus the age-50 catch-up)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ListParagraph"/>
        <w:numPr>
          <w:ilvl w:val="0"/>
          <w:numId w:val="2"/>
        </w:numPr>
        <w:spacing w:after="60" w:line="276"/>
      </w:pPr>
      <w:r>
        <w:rPr>
          <w:rFonts w:ascii="Calibri" w:cs="Calibri" w:eastAsia="Calibri" w:hAnsi="Calibri"/>
          <w:sz w:val="21"/>
          <w:szCs w:val="21"/>
        </w:rPr>
        <w:t xml:space="preserve">A rental can be grouped with a trade or business only if one is insubstantial relative to the other, or each owner of the business has the same proportionate ownership in the rental (Treas. Reg. § 1.469-4(d)(1)) — an LLC owned in different percentages than the operating company generally cannot be grouped with it. Separately, the self-rental rule (Treas. Reg. § 1.469-2(f)(6)) treats net rental income from property leased to a business the owner materially participates in as non-passive, so ungrouped rental income generally cannot absorb other passive losses.</w:t>
      </w:r>
    </w:p>
    <w:p>
      <w:pPr>
        <w:pStyle w:val="ListParagraph"/>
        <w:numPr>
          <w:ilvl w:val="0"/>
          <w:numId w:val="2"/>
        </w:numPr>
        <w:spacing w:after="60" w:line="276"/>
      </w:pPr>
      <w:r>
        <w:rPr>
          <w:rFonts w:ascii="Calibri" w:cs="Calibri" w:eastAsia="Calibri" w:hAnsi="Calibri"/>
          <w:sz w:val="21"/>
          <w:szCs w:val="21"/>
        </w:rPr>
        <w:t xml:space="preserve">Even a non-passive loss is subject to the excess business loss limitation of IRC § 461(l), made permanent by the 2025 reconciliation act (commonly called the One Big Beautiful Bill Act): net business losses above an inflation-indexed threshold (about $256,000 single / $512,000 joint for 2026) cannot offset wages or investment income in the current year and instead carry forward as a net operating loss.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(restored to 100%, permanently, for property acquired after January 19, 2025),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 (up to the § 461(l) excess-business-loss limit).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maximum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would have qualified for 100% bonus depreciation in the year purchased, this catch-up adjustment is often net-zero in dollar terms (in years when bonus depreciation was below 100% — 80% in 2023, 60% in 2024, and 40% for property acquired in 2025 before January 20 — it will not be, and the adjustment must actually be computed),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in each year purchased, the items would have qualified for 100% bonus depreciation — the same deduction the supplies write-off produced),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office must also meet the § 280A business-use tests that apply to employees: it must be the employee’s principal place of business (or a place to meet clients) and be maintained for the convenience of the employer, not merely the employee’s own convenience.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that is the employee’s principal place of business also makes trips from home to other business locations deductible business mileage (Rev. Rul. 99-7),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pStyle w:val="ListParagraph"/>
        <w:numPr>
          <w:ilvl w:val="0"/>
          <w:numId w:val="2"/>
        </w:numPr>
        <w:spacing w:after="60" w:line="276"/>
      </w:pPr>
      <w:r>
        <w:rPr>
          <w:rFonts w:ascii="Calibri" w:cs="Calibri" w:eastAsia="Calibri" w:hAnsi="Calibri"/>
          <w:sz w:val="21"/>
          <w:szCs w:val="21"/>
        </w:rPr>
        <w:t xml:space="preserve">Sinopoli v. Comm’r, T.C. Memo. 2023-105</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 The Tax Court has disallowed the business’s deduction where the rate was not supported by comparable-rental evidence and the meetings were poorly documented (Sinopoli v. Comm’r, T.C. Memo. 2023-105).</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164(b)(6) — the individual SALT deduction cap</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Individuals who itemize are limited in how much state and local tax (SALT) they can deduct on their federal return. The cap was $10,000 from 2018 through 2024; the 2025 reconciliation act (commonly called the One Big Beautiful Bill Act) raised it to $40,000 for 2025 and $40,400 for 2026 (rising 1% a year through 2029, then reverting to $10,000 in 2030) — but the higher cap phases down by 30% of modified AGI above $500,000 ($505,000 for 2026), never below $10,000. For a high-earning owner of a pass-through business (an S corporation or partnership), a large amount of state tax paid personally can therefore still receive little or no federal deduction. Many states offer a pass-through entity tax (PTET) election as a workaround, and the 2025 act left entity-level PTET deductions intact.</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state income tax that would otherwise count against the owner’s capped SALT deduction becomes fully deductible at the entity level, reducing the owner’s share of pass-through income. The election is most valuable for owners whose income is high enough that the phase-down pushes their cap back toward $10,000, and for owners whose property taxes alone already use up most of the cap. For an owner whose total SALT fits comfortably under the higher cap, the benefit may be small and should be weighed against the election’s cost and state-level quirks. Because the entity-level deduction lowers pass-through income, it also reduces the owner’s qualified business income for the § 199A deduction — model the two together.</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pStyle w:val="ListParagraph"/>
        <w:numPr>
          <w:ilvl w:val="0"/>
          <w:numId w:val="2"/>
        </w:numPr>
        <w:spacing w:after="60" w:line="276"/>
      </w:pPr>
      <w:r>
        <w:rPr>
          <w:rFonts w:ascii="Calibri" w:cs="Calibri" w:eastAsia="Calibri" w:hAnsi="Calibri"/>
          <w:sz w:val="21"/>
          <w:szCs w:val="21"/>
        </w:rPr>
        <w:t xml:space="preserve">The entity-level deduction helps even an owner who takes the standard deduction, since it reduces pass-through income directly rather than depending on itemizing.</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 owner in a state with a 5% PTET and a 5% flat individual rate has $900,000 of modified AGI for 2026, including $600,000 of S-corporation income, and pays $15,000 of property tax. Without the election, the $30,000 of state income tax on the S-corporation income plus the property tax totals $45,000 of SALT — but at that income level the cap is phased all the way down to $10,000, so $35,000 produces no federal benefit. With the PTET election, the entity pays the $30,000 of state tax and deducts it in full, the owner receives an offsetting state credit, and the owner’s own $10,000 cap remains available for the property tax. (At $300,000 of income, by contrast, the owner’s full SALT would fit under the $40,400 cap and the election would add little.)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pStyle w:val="ListParagraph"/>
        <w:numPr>
          <w:ilvl w:val="0"/>
          <w:numId w:val="2"/>
        </w:numPr>
        <w:spacing w:after="60" w:line="276"/>
      </w:pPr>
      <w:r>
        <w:rPr>
          <w:rFonts w:ascii="Calibri" w:cs="Calibri" w:eastAsia="Calibri" w:hAnsi="Calibri"/>
          <w:sz w:val="21"/>
          <w:szCs w:val="21"/>
        </w:rPr>
        <w:t xml:space="preserve">This area is still moving: the Tax Court’s functional test has been appealed in more than one circuit (including in Soroban and Sirius Solutions), so check the current status of those appeals — and which circuit the taxpayer is in — before taking a position either way.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pStyle w:val="ListParagraph"/>
        <w:numPr>
          <w:ilvl w:val="0"/>
          <w:numId w:val="2"/>
        </w:numPr>
        <w:spacing w:after="60" w:line="276"/>
      </w:pPr>
      <w:r>
        <w:rPr>
          <w:rFonts w:ascii="Calibri" w:cs="Calibri" w:eastAsia="Calibri" w:hAnsi="Calibri"/>
          <w:sz w:val="21"/>
          <w:szCs w:val="21"/>
        </w:rPr>
        <w:t xml:space="preserve">Withholding can only come out of wages actually being paid — an employer cannot withhold more than the paycheck it is running — so a large year-end catch-up may need to be paired with a bonus or a larger final paycheck big enough to carry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commonly cited rule of thumb is that the election starts to net-save money once total owner profit reaches somewhere around $50,000–$100,000 — but this varies significantly by industry, region, the reasonable-comp figure for the role, and state entity-level taxes. It also interacts with the QBI deduction (W-2 salary reduces qualified business income) and the Social Security wage base (profit above it saves only the 2.9% Medicare portion),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using IRS Form 15620 or a written statement containing the information required by Treas. Reg. § 1.83-2(e), with a copy retained (for property transferred after 2015, a copy no longer has to be attached to the return)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long enough (more than five years for the full exclusion; as little as three years for a partial exclusion on stock issued after July 4, 2025)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aggregate gross assets must not have exceeded $50 million at any time before or immediately after the issuance — $75 million (indexed for inflation after 2026) for stock issued after July 4, 2025.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For stock acquired after September 27, 2010 and on or before July 4, 2025, 100% of the gain is excluded if the stock is held more than five years, up to the greater of $10 million or 10 times the taxpayer’s basis in the stock. For stock issued after July 4, 2025, the 2025 reconciliation act (commonly called the One Big Beautiful Bill Act) added a tiered schedule — 50% excluded after three years, 75% after four, and 100% after five — and raised the per-issuer cap to $15 million (indexed for inflation after 2026). The excluded portion is free of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For stock issued on or before July 4, 2025, the five-year holding period is a hard requirement with no partial exclusion; for stock issued after that date, partial exclusions begin at three years. Either way, a § 1045 rollover can defer the gain and carry over the holding period if QSBS held more than six months is sold and the proceeds are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 If founder or employee stock is subject to vesting, a timely § 83(b) election is what starts the QSBS holding period at grant rather than at each vesting date.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pStyle w:val="ListParagraph"/>
        <w:numPr>
          <w:ilvl w:val="0"/>
          <w:numId w:val="2"/>
        </w:numPr>
        <w:spacing w:after="60" w:line="276"/>
      </w:pPr>
      <w:r>
        <w:rPr>
          <w:rFonts w:ascii="Calibri" w:cs="Calibri" w:eastAsia="Calibri" w:hAnsi="Calibri"/>
          <w:sz w:val="21"/>
          <w:szCs w:val="21"/>
        </w:rPr>
        <w:t xml:space="preserve">Beginning in 2026, itemized charitable deductions count only to the extent they exceed 0.5% of AGI, and for taxpayers in the 37% bracket the tax value of itemized deductions is capped at roughly 35 cents per dollar. The floor makes bunching several years of gifts into one year more attractive; the cap slightly reduces the value of each deducted dollar for top-bracket donors. The new charitable deduction for non-itemizers applies only to cash gifts and does not cover gifts to a donor-advised fund.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 Because the pro-rata calculation uses combined IRA balances as of December 31 of the conversion year, the rollover must be completed by that date.</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pStyle w:val="ListParagraph"/>
        <w:numPr>
          <w:ilvl w:val="0"/>
          <w:numId w:val="2"/>
        </w:numPr>
        <w:spacing w:after="60" w:line="276"/>
      </w:pPr>
      <w:r>
        <w:rPr>
          <w:rFonts w:ascii="Calibri" w:cs="Calibri" w:eastAsia="Calibri" w:hAnsi="Calibri"/>
          <w:sz w:val="21"/>
          <w:szCs w:val="21"/>
        </w:rPr>
        <w:t xml:space="preserve">After-tax contributions are subject to the plan’s ACP nondiscrimination test, which can force refunds of highly compensated employees’ after-tax contributions when rank-and-file participation is low — check how the plan has fared in testing before counting on the full amount.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than 100 hours and at least as much time as any other individual (including cleaners and property managers),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pStyle w:val="ListParagraph"/>
        <w:numPr>
          <w:ilvl w:val="0"/>
          <w:numId w:val="2"/>
        </w:numPr>
        <w:spacing w:after="60" w:line="276"/>
      </w:pPr>
      <w:r>
        <w:rPr>
          <w:rFonts w:ascii="Calibri" w:cs="Calibri" w:eastAsia="Calibri" w:hAnsi="Calibri"/>
          <w:sz w:val="21"/>
          <w:szCs w:val="21"/>
        </w:rPr>
        <w:t xml:space="preserve">If the owner also uses the property personally for more than the greater of 14 days or 10% of the days it is rented, § 280A treats it as a residence and limits deductions to the rental income — no loss is allowed at all.</w:t>
      </w:r>
    </w:p>
    <w:p>
      <w:pPr>
        <w:pStyle w:val="ListParagraph"/>
        <w:numPr>
          <w:ilvl w:val="0"/>
          <w:numId w:val="2"/>
        </w:numPr>
        <w:spacing w:after="60" w:line="276"/>
      </w:pPr>
      <w:r>
        <w:rPr>
          <w:rFonts w:ascii="Calibri" w:cs="Calibri" w:eastAsia="Calibri" w:hAnsi="Calibri"/>
          <w:sz w:val="21"/>
          <w:szCs w:val="21"/>
        </w:rPr>
        <w:t xml:space="preserve">Even a non-passive loss is subject to the excess business loss limitation of IRC § 461(l), made permanent by the 2025 reconciliation act (commonly called the One Big Beautiful Bill Act): net business losses above an inflation-indexed threshold (about $256,000 single / $512,000 joint for 2026) cannot offset wages or investment income in the current year and instead carry forward as a net operating loss.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loss offsets her W-2 wages from her regular job in the same year (up to the § 461(l) excess-business-loss limit)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equipment, vehicles, or cost-segregated real-estate components (§ 1245 property)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typically has real ordinary-income exposure buried in what looks, from the seller’s side, like a single capital transaction. Straight-line depreciation on buildings is generally not a hot asset, but the gain attributable to it is still taxed at up to 25% as unrecaptured § 1250 gain under the look-through rule of Treas. Reg. § 1.1(h)-1.</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on the earlier of disposing of the QOF investment or a statutory inclusion date. Under the original 2017 rules, that inclusion date is December 31, 2026 for every investment — so an investment made under the original rules in 2026 defers the gain by only months. The 2025 reconciliation act (commonly called the One Big Beautiful Bill Act) made the program permanent for investments made after December 31, 2026: deferral then runs until the earlier of disposition or five years after the investment, and an investment held at least five years receives a 10% basis step-up on the deferred gain (30% for qualified rural opportunity funds).</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(at least ten years; under the permanent rules, appreciation after the 30-year mark is no longer excluded),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A new round of zone designations takes effect January 1, 2027, replacing the original zones — confirm the fund’s property is in a zone designated for the period of the investment. Because a gain realized in the second half of 2026 has a 180-day window that reaches into 2027, it may be worth waiting to invest under the new rules rather than investing in 2026 for only a few months of deferral; confirm the transition rules before relying on this.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 — and a loss washed by an IRA purchase is lost permanently rather than added to basis (Rev. Rul. 2008-5).</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IRC § 1371(a) — general rule that C-corporation rules apply once an S election ends</w:t>
      </w:r>
    </w:p>
    <w:p>
      <w:pPr>
        <w:pStyle w:val="ListParagraph"/>
        <w:numPr>
          <w:ilvl w:val="0"/>
          <w:numId w:val="2"/>
        </w:numPr>
        <w:spacing w:after="60" w:line="276"/>
      </w:pPr>
      <w:r>
        <w:rPr>
          <w:rFonts w:ascii="Calibri" w:cs="Calibri" w:eastAsia="Calibri" w:hAnsi="Calibri"/>
          <w:sz w:val="21"/>
          <w:szCs w:val="21"/>
        </w:rPr>
        <w:t xml:space="preserve">IRC § 316 and § 301 — dividend distributions from a C corporation</w:t>
      </w:r>
    </w:p>
    <w:p>
      <w:pPr>
        <w:spacing w:after="120"/>
      </w:pP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already-taxed earnings to themselves — the $600,000 accumulated from prior years plus part of the current-year profit, which is also taxed to them through the S corporation’s final short year.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When an S corporation raises its owner’s W-2 wages by one dollar, the 50%-of-wages cap rises by fifty cents — but the extra wage also reduces the business’s qualified business income by that dollar, cutting the 20% deduction base by twenty cents. The net gain is roughly thirty cents of additional deduction per dollar of wages, at the cost of the added payroll tax on that dollar (income tax on the wage itself is otherwise a wash, since it simply shifts from profit to wages taxed to the same owner). Where wages are the binding constraint, the deduction peaks when 50% of wages equals 20% of the remaining QBI — that is, when wages are about 2/7 (roughly 28.6%) of profit before owner wages; paying more than that reduces the deduction.</w:t>
      </w:r>
    </w:p>
    <w:p>
      <w:pPr>
        <w:pStyle w:val="ListParagraph"/>
        <w:numPr>
          <w:ilvl w:val="0"/>
          <w:numId w:val="2"/>
        </w:numPr>
        <w:spacing w:after="60" w:line="276"/>
      </w:pPr>
      <w:r>
        <w:rPr>
          <w:rFonts w:ascii="Calibri" w:cs="Calibri" w:eastAsia="Calibri" w:hAnsi="Calibri"/>
          <w:sz w:val="21"/>
          <w:szCs w:val="21"/>
        </w:rPr>
        <w:t xml:space="preserve">The owner’s own W-2 wages can only be raised this way in an S corporation. A partner’s guaranteed payments and a sole proprietor’s draws are not W-2 wages, so a partnership or Schedule C business can raise the wage cap only by paying real wages to employees.</w:t>
      </w:r>
    </w:p>
    <w:p>
      <w:pPr>
        <w:pStyle w:val="ListParagraph"/>
        <w:numPr>
          <w:ilvl w:val="0"/>
          <w:numId w:val="2"/>
        </w:numPr>
        <w:spacing w:after="60" w:line="276"/>
      </w:pPr>
      <w:r>
        <w:rPr>
          <w:rFonts w:ascii="Calibri" w:cs="Calibri" w:eastAsia="Calibri" w:hAnsi="Calibri"/>
          <w:sz w:val="21"/>
          <w:szCs w:val="21"/>
        </w:rPr>
        <w:t xml:space="preserve">Above the threshold, a specified service trade or business (such as health, law, accounting, consulting, or financial services) loses the deduction entirely once fully phased in, so no wage true-up helps. The 2025 reconciliation act (commonly called the One Big Beautiful Bill Act) made § 199A permanent and, starting in 2026, widened the phase-in range above the threshold to $75,000 ($150,000 for joint filers).</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thirty cents of additional QBI deduction for every dollar of bonus paid (fifty cents from the higher wage cap, less twenty cents because the bonus itself reduces QBI)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263(c) — intangible drilling and development costs</w:t>
      </w:r>
    </w:p>
    <w:p>
      <w:pPr>
        <w:pStyle w:val="ListParagraph"/>
        <w:numPr>
          <w:ilvl w:val="0"/>
          <w:numId w:val="2"/>
        </w:numPr>
        <w:spacing w:after="60" w:line="276"/>
      </w:pPr>
      <w:r>
        <w:rPr>
          <w:rFonts w:ascii="Calibri" w:cs="Calibri" w:eastAsia="Calibri" w:hAnsi="Calibri"/>
          <w:sz w:val="21"/>
          <w:szCs w:val="21"/>
        </w:rPr>
        <w:t xml:space="preserve">IRC § 469(c)(3) — working interests exempted from the passive-activity rules</w:t>
      </w:r>
    </w:p>
    <w:p>
      <w:pPr>
        <w:pStyle w:val="ListParagraph"/>
        <w:numPr>
          <w:ilvl w:val="0"/>
          <w:numId w:val="2"/>
        </w:numPr>
        <w:spacing w:after="60" w:line="276"/>
      </w:pPr>
      <w:r>
        <w:rPr>
          <w:rFonts w:ascii="Calibri" w:cs="Calibri" w:eastAsia="Calibri" w:hAnsi="Calibri"/>
          <w:sz w:val="21"/>
          <w:szCs w:val="21"/>
        </w:rPr>
        <w:t xml:space="preserve">Treas. Reg. § 1.612-4</w:t>
      </w:r>
    </w:p>
    <w:p>
      <w:pPr>
        <w:spacing w:after="120"/>
      </w:pP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pStyle w:val="ListParagraph"/>
        <w:numPr>
          <w:ilvl w:val="0"/>
          <w:numId w:val="2"/>
        </w:numPr>
        <w:spacing w:after="60" w:line="276"/>
      </w:pPr>
      <w:r>
        <w:rPr>
          <w:rFonts w:ascii="Calibri" w:cs="Calibri" w:eastAsia="Calibri" w:hAnsi="Calibri"/>
          <w:sz w:val="21"/>
          <w:szCs w:val="21"/>
        </w:rPr>
        <w:t xml:space="preserve">Even a non-passive loss is subject to the excess business loss limitation of IRC § 461(l), made permanent by the 2025 reconciliation act (commonly called the One Big Beautiful Bill Act): net business losses above an inflation-indexed threshold (about $256,000 single / $512,000 joint for 2026) cannot offset wages or investment income in the current year and instead carry forward as a net operating loss.</w:t>
      </w:r>
    </w:p>
    <w:p>
      <w:pPr>
        <w:pStyle w:val="ListParagraph"/>
        <w:numPr>
          <w:ilvl w:val="0"/>
          <w:numId w:val="2"/>
        </w:numPr>
        <w:spacing w:after="60" w:line="276"/>
      </w:pPr>
      <w:r>
        <w:rPr>
          <w:rFonts w:ascii="Calibri" w:cs="Calibri" w:eastAsia="Calibri" w:hAnsi="Calibri"/>
          <w:sz w:val="21"/>
          <w:szCs w:val="21"/>
        </w:rPr>
        <w:t xml:space="preserve">IDCs prepaid at year-end are deductible in the year paid only if drilling begins within 90 days after year-end (§ 461(i)(2)) and the prepayment has a genuine business purpose. Deducted IDCs are also recaptured as ordinary income under § 1254 when the property is sold.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offsetting ordinary W-2 income that would otherwise be taxed at the top marginal rate — up to the § 461(l) excess-business-loss limit (about $512,000 on a 2026 joint return, half that for a single filer), with any excess carried forward as a net operating loss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531–537 — the accumulated earnings tax</w:t>
      </w:r>
    </w:p>
    <w:p>
      <w:pPr>
        <w:pStyle w:val="ListParagraph"/>
        <w:numPr>
          <w:ilvl w:val="0"/>
          <w:numId w:val="2"/>
        </w:numPr>
        <w:spacing w:after="60" w:line="276"/>
      </w:pPr>
      <w:r>
        <w:rPr>
          <w:rFonts w:ascii="Calibri" w:cs="Calibri" w:eastAsia="Calibri" w:hAnsi="Calibri"/>
          <w:sz w:val="21"/>
          <w:szCs w:val="21"/>
        </w:rPr>
        <w:t xml:space="preserve">Treas. Reg. § 1.537-1 — reasonable needs of the business</w:t>
      </w:r>
    </w:p>
    <w:p>
      <w:pPr>
        <w:spacing w:after="120"/>
      </w:pP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The tax is 20% of accumulated taxable income, and every C corporation gets a minimum accumulated earnings credit of $250,000 ($150,000 for personal service corporations in fields such as health, law, accounting, and consulting) before a reasonable-needs analysis is even needed.</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1(h) — capital gains rate structure</w:t>
      </w:r>
    </w:p>
    <w:p>
      <w:pPr>
        <w:pStyle w:val="ListParagraph"/>
        <w:numPr>
          <w:ilvl w:val="0"/>
          <w:numId w:val="2"/>
        </w:numPr>
        <w:spacing w:after="60" w:line="276"/>
      </w:pPr>
      <w:r>
        <w:rPr>
          <w:rFonts w:ascii="Calibri" w:cs="Calibri" w:eastAsia="Calibri" w:hAnsi="Calibri"/>
          <w:sz w:val="21"/>
          <w:szCs w:val="21"/>
        </w:rPr>
        <w:t xml:space="preserve">IRC § 1012 and Treas. Reg. § 1.1012-1 — basis and lot identification</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spacing w:after="120"/>
      </w:pP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his account’s default lot-relief method — which had been set to last-in, first-out rather than the more common first-in, first-out —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2501–2504 — gift tax</w:t>
      </w:r>
    </w:p>
    <w:p>
      <w:pPr>
        <w:pStyle w:val="ListParagraph"/>
        <w:numPr>
          <w:ilvl w:val="0"/>
          <w:numId w:val="2"/>
        </w:numPr>
        <w:spacing w:after="60" w:line="276"/>
      </w:pPr>
      <w:r>
        <w:rPr>
          <w:rFonts w:ascii="Calibri" w:cs="Calibri" w:eastAsia="Calibri" w:hAnsi="Calibri"/>
          <w:sz w:val="21"/>
          <w:szCs w:val="21"/>
        </w:rPr>
        <w:t xml:space="preserve">IRC § 2631 — generation-skipping transfer tax exemption</w:t>
      </w:r>
    </w:p>
    <w:p>
      <w:pPr>
        <w:pStyle w:val="ListParagraph"/>
        <w:numPr>
          <w:ilvl w:val="0"/>
          <w:numId w:val="2"/>
        </w:numPr>
        <w:spacing w:after="60" w:line="276"/>
      </w:pPr>
      <w:r>
        <w:rPr>
          <w:rFonts w:ascii="Calibri" w:cs="Calibri" w:eastAsia="Calibri" w:hAnsi="Calibri"/>
          <w:sz w:val="21"/>
          <w:szCs w:val="21"/>
        </w:rPr>
        <w:t xml:space="preserve">IRC § 2503(b) — annual gift-tax exclusion</w:t>
      </w:r>
    </w:p>
    <w:p>
      <w:pPr>
        <w:spacing w:after="120"/>
      </w:pP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supported by an independent qualified appraisal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which is $15 million per person for 2026 and indexed for inflation thereafter),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qualified, independent appraisal to support the gifted value, and report the gift on Form 709 with the adequate-disclosure information required by Treas. Reg. § 301.6501(c)-1(f) — adequate disclosure is what starts the three-year period for the IRS to challenge the value. A company’s § 409A valuation for option pricing can be a useful reference point but is not a substitute for a gift-tax appraisal.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168(g)(1)(A) — required use of the alternative depreciation system for foreign-use property</w:t>
      </w:r>
    </w:p>
    <w:p>
      <w:pPr>
        <w:pStyle w:val="ListParagraph"/>
        <w:numPr>
          <w:ilvl w:val="0"/>
          <w:numId w:val="2"/>
        </w:numPr>
        <w:spacing w:after="60" w:line="276"/>
      </w:pPr>
      <w:r>
        <w:rPr>
          <w:rFonts w:ascii="Calibri" w:cs="Calibri" w:eastAsia="Calibri" w:hAnsi="Calibri"/>
          <w:sz w:val="21"/>
          <w:szCs w:val="21"/>
        </w:rPr>
        <w:t xml:space="preserve">IRC § 1031(h) — foreign real property not treated as like-kind to U.S. real property</w:t>
      </w:r>
    </w:p>
    <w:p>
      <w:pPr>
        <w:spacing w:after="120"/>
      </w:pP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a foreign property cannot be exchanged tax-free for U.S. property, or vice versa. An exchange of foreign real property for other foreign real property can still qualify under § 1031, but a foreign property that is sold outright, or sold to reinvest in U.S. real estate, is a fully taxable transaction — and planning to reduce the tax on that sale (loss harvesting elsewhere, timing the sale into a lower-income year, foreign tax credits for tax paid abroad, etc.) has to work through other levers.</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into U.S. property is not available because the property is foreign (only an exchange into other foreign real property could qualify),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409A — nonqualified deferred compensation plans</w:t>
      </w:r>
    </w:p>
    <w:p>
      <w:pPr>
        <w:pStyle w:val="ListParagraph"/>
        <w:numPr>
          <w:ilvl w:val="0"/>
          <w:numId w:val="2"/>
        </w:numPr>
        <w:spacing w:after="60" w:line="276"/>
      </w:pPr>
      <w:r>
        <w:rPr>
          <w:rFonts w:ascii="Calibri" w:cs="Calibri" w:eastAsia="Calibri" w:hAnsi="Calibri"/>
          <w:sz w:val="21"/>
          <w:szCs w:val="21"/>
        </w:rPr>
        <w:t xml:space="preserve">Treas. Reg. § 1.409A-3 — permissible distribution events and timing</w:t>
      </w:r>
    </w:p>
    <w:p>
      <w:pPr>
        <w:spacing w:after="120"/>
      </w:pP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two years from now,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183 — activities not engaged in for profit ("hobby loss" rules)</w:t>
      </w:r>
    </w:p>
    <w:p>
      <w:pPr>
        <w:pStyle w:val="ListParagraph"/>
        <w:numPr>
          <w:ilvl w:val="0"/>
          <w:numId w:val="2"/>
        </w:numPr>
        <w:spacing w:after="60" w:line="276"/>
      </w:pPr>
      <w:r>
        <w:rPr>
          <w:rFonts w:ascii="Calibri" w:cs="Calibri" w:eastAsia="Calibri" w:hAnsi="Calibri"/>
          <w:sz w:val="21"/>
          <w:szCs w:val="21"/>
        </w:rPr>
        <w:t xml:space="preserve">IRC § 162 — trade or business expenses</w:t>
      </w:r>
    </w:p>
    <w:p>
      <w:pPr>
        <w:pStyle w:val="ListParagraph"/>
        <w:numPr>
          <w:ilvl w:val="0"/>
          <w:numId w:val="2"/>
        </w:numPr>
        <w:spacing w:after="60" w:line="276"/>
      </w:pPr>
      <w:r>
        <w:rPr>
          <w:rFonts w:ascii="Calibri" w:cs="Calibri" w:eastAsia="Calibri" w:hAnsi="Calibri"/>
          <w:sz w:val="21"/>
          <w:szCs w:val="21"/>
        </w:rPr>
        <w:t xml:space="preserve">IRC § 263A — capitalization of certain costs to inventory (UNICAP), including the § 263A(i) small-business exemption</w:t>
      </w:r>
    </w:p>
    <w:p>
      <w:pPr>
        <w:pStyle w:val="ListParagraph"/>
        <w:numPr>
          <w:ilvl w:val="0"/>
          <w:numId w:val="2"/>
        </w:numPr>
        <w:spacing w:after="60" w:line="276"/>
      </w:pPr>
      <w:r>
        <w:rPr>
          <w:rFonts w:ascii="Calibri" w:cs="Calibri" w:eastAsia="Calibri" w:hAnsi="Calibri"/>
          <w:sz w:val="21"/>
          <w:szCs w:val="21"/>
        </w:rPr>
        <w:t xml:space="preserve">IRC § 195 — start-up expenditures</w:t>
      </w:r>
    </w:p>
    <w:p>
      <w:pPr>
        <w:spacing w:after="120"/>
      </w:pP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under § 195, up to $5,000 of start-up costs can be deducted in the year the business begins, reduced once total start-up costs exceed $50,000, with the rest amortized over 180 months).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account for that inventory, and larger businesses must also apply the uniform capitalization rules (UNICAP) under IRC § 263A, which generally require certain production costs (labor, allocable overhead, and specified indirect costs) to be capitalized into the cost of inventory rather than deducted immediately as they are incurred. A small business taxpayer whose average annual gross receipts for the prior three years do not exceed the § 448(c) threshold (about $31 million for 2025, indexed) is exempt from UNICAP under § 263A(i), and farming businesses are separately exempt for plants with a preproductive period of two years or less (§ 263A(d)). For an activity that has been informally accumulating years of production costs without ever setting up an inventory account, the one-time cleanup step is to determine which rules actually apply — for most small ventures, the ordinary inventory rules rather than full UNICAP — and then establish an opening inventory figure rather than either ignoring the costs or trying to deduct them all at once.</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the production costs that belong in inventory must first be captured in an opening inventory figure rather than simply written off (at its size, the venture is likely exempt from full § 263A capitalization, but the product still has to be accounted for as inventory),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Severance vs. Consulting Income: When Self-Employment Planning Actually Applies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3121(a) — wages for FICA purposes</w:t>
      </w:r>
    </w:p>
    <w:p>
      <w:pPr>
        <w:pStyle w:val="ListParagraph"/>
        <w:numPr>
          <w:ilvl w:val="0"/>
          <w:numId w:val="2"/>
        </w:numPr>
        <w:spacing w:after="60" w:line="276"/>
      </w:pPr>
      <w:r>
        <w:rPr>
          <w:rFonts w:ascii="Calibri" w:cs="Calibri" w:eastAsia="Calibri" w:hAnsi="Calibri"/>
          <w:sz w:val="21"/>
          <w:szCs w:val="21"/>
        </w:rPr>
        <w:t xml:space="preserve">United States v. Quality Stores, Inc., 572 U.S. 141 (2014)</w:t>
      </w:r>
    </w:p>
    <w:p>
      <w:pPr>
        <w:pStyle w:val="ListParagraph"/>
        <w:numPr>
          <w:ilvl w:val="0"/>
          <w:numId w:val="2"/>
        </w:numPr>
        <w:spacing w:after="60" w:line="276"/>
      </w:pPr>
      <w:r>
        <w:rPr>
          <w:rFonts w:ascii="Calibri" w:cs="Calibri" w:eastAsia="Calibri" w:hAnsi="Calibri"/>
          <w:sz w:val="21"/>
          <w:szCs w:val="21"/>
        </w:rPr>
        <w:t xml:space="preserve">IRC § 1402 — net earnings from self-employment</w:t>
      </w:r>
    </w:p>
    <w:p>
      <w:pPr>
        <w:pStyle w:val="ListParagraph"/>
        <w:numPr>
          <w:ilvl w:val="0"/>
          <w:numId w:val="2"/>
        </w:numPr>
        <w:spacing w:after="60" w:line="276"/>
      </w:pPr>
      <w:r>
        <w:rPr>
          <w:rFonts w:ascii="Calibri" w:cs="Calibri" w:eastAsia="Calibri" w:hAnsi="Calibri"/>
          <w:sz w:val="21"/>
          <w:szCs w:val="21"/>
        </w:rPr>
        <w:t xml:space="preserve">IRC § 401(k), § 404, and § 408(k) — solo 401(k) and SEP contributions</w:t>
      </w:r>
    </w:p>
    <w:p>
      <w:pPr>
        <w:pStyle w:val="ListParagraph"/>
        <w:numPr>
          <w:ilvl w:val="0"/>
          <w:numId w:val="2"/>
        </w:numPr>
        <w:spacing w:after="60" w:line="276"/>
      </w:pPr>
      <w:r>
        <w:rPr>
          <w:rFonts w:ascii="Calibri" w:cs="Calibri" w:eastAsia="Calibri" w:hAnsi="Calibri"/>
          <w:sz w:val="21"/>
          <w:szCs w:val="21"/>
        </w:rPr>
        <w:t xml:space="preserve">IRC § 162(l) — self-employed health insurance deduction</w:t>
      </w:r>
    </w:p>
    <w:p>
      <w:pPr>
        <w:spacing w:after="140" w:line="276"/>
      </w:pPr>
      <w:r>
        <w:rPr>
          <w:rFonts w:ascii="Calibri" w:cs="Calibri" w:eastAsia="Calibri" w:hAnsi="Calibri"/>
          <w:sz w:val="21"/>
          <w:szCs w:val="21"/>
        </w:rPr>
        <w:t xml:space="preserve">A departing employee who expects part of an exit package to be paid on a Form 1099 — or who plans to consult for the former employer or others afterward — needs to separate two very different kinds of income. Severance for past employment is wages, whatever form the payer uses to report it, and cannot be turned into self-employment income by routing it through an entity. Genuine new consulting work, by contrast, is a trade or business that opens up self-employed retirement contributions and business deductions — and that is true with or without an LLC.</w:t>
      </w:r>
    </w:p>
    <w:p>
      <w:pPr>
        <w:spacing w:after="120"/>
      </w:pPr>
    </w:p>
    <w:p>
      <w:pPr>
        <w:pStyle w:val="Heading2"/>
        <w:spacing w:after="80" w:before="200"/>
      </w:pPr>
      <w:r>
        <w:rPr>
          <w:rFonts w:ascii="Calibri" w:cs="Calibri" w:eastAsia="Calibri" w:hAnsi="Calibri"/>
          <w:b/>
          <w:bCs/>
          <w:color w:val="2E5496"/>
          <w:sz w:val="24"/>
          <w:szCs w:val="24"/>
        </w:rPr>
        <w:t xml:space="preserve">Severance Is Wages, Not Business Income</w:t>
      </w:r>
    </w:p>
    <w:p>
      <w:pPr>
        <w:spacing w:after="140" w:line="276"/>
      </w:pPr>
      <w:r>
        <w:rPr>
          <w:rFonts w:ascii="Calibri" w:cs="Calibri" w:eastAsia="Calibri" w:hAnsi="Calibri"/>
          <w:sz w:val="21"/>
          <w:szCs w:val="21"/>
        </w:rPr>
        <w:t xml:space="preserve">Severance paid because employment ended is compensation for past services as an employee. The Supreme Court held in United States v. Quality Stores, Inc. (2014) that such payments are wages for FICA purposes, and they are also subject to income tax withholding. An employer that reports severance on a Form 1099 has usually made a reporting error; the right response is to ask for a corrected W-2, not to treat the payment as business income.</w:t>
      </w:r>
    </w:p>
    <w:p>
      <w:pPr>
        <w:spacing w:after="140" w:line="276"/>
      </w:pPr>
      <w:r>
        <w:rPr>
          <w:rFonts w:ascii="Calibri" w:cs="Calibri" w:eastAsia="Calibri" w:hAnsi="Calibri"/>
          <w:sz w:val="21"/>
          <w:szCs w:val="21"/>
        </w:rPr>
        <w:t xml:space="preserve">Forming an LLC and having the payer "reissue" severance to it does not change this. Income is taxed to the person who earned it (the assignment-of-income doctrine), and a single-member LLC is disregarded for federal income tax anyway — its income is the owner’s income, reported on the owner’s return, with the same result whether the payment goes to the LLC’s EIN or the individual’s Social Security number. Treating severance as self-employment income can also backfire: solo 401(k) or SEP contributions based on it would be excess contributions if the income was really wages.</w:t>
      </w:r>
    </w:p>
    <w:p>
      <w:pPr>
        <w:pStyle w:val="Heading2"/>
        <w:spacing w:after="80" w:before="200"/>
      </w:pPr>
      <w:r>
        <w:rPr>
          <w:rFonts w:ascii="Calibri" w:cs="Calibri" w:eastAsia="Calibri" w:hAnsi="Calibri"/>
          <w:b/>
          <w:bCs/>
          <w:color w:val="2E5496"/>
          <w:sz w:val="24"/>
          <w:szCs w:val="24"/>
        </w:rPr>
        <w:t xml:space="preserve">Where Self-Employment Planning Does Apply: Real Consulting Work</w:t>
      </w:r>
    </w:p>
    <w:p>
      <w:pPr>
        <w:spacing w:after="140" w:line="276"/>
      </w:pPr>
      <w:r>
        <w:rPr>
          <w:rFonts w:ascii="Calibri" w:cs="Calibri" w:eastAsia="Calibri" w:hAnsi="Calibri"/>
          <w:sz w:val="21"/>
          <w:szCs w:val="21"/>
        </w:rPr>
        <w:t xml:space="preserve">If the individual performs new services as an independent contractor — for the former employer under a genuine consulting agreement, or for new clients — that income is net earnings from self-employment reported on Schedule C, whether or not an entity exists. It supports a solo 401(k) or SEP-IRA contribution sized to the self-employment income (a solo 401(k) allows both an employee-deferral and an employer-contribution component), ordinary and necessary business deductions under § 162 (including a qualifying home office), and, for months when the individual is not eligible for an employer-subsidized health plan, the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Check how each payment is characterized in the separation agreement: payments for past service or for releasing claims are wages; payments for defined future services performed as an independent contractor are self-employment income. A consulting arrangement with the former employer should look like a real contractor relationship (defined deliverables, the consultant’s own schedule and tools), not continued employment under another name.</w:t>
      </w:r>
    </w:p>
    <w:p>
      <w:pPr>
        <w:pStyle w:val="ListParagraph"/>
        <w:numPr>
          <w:ilvl w:val="0"/>
          <w:numId w:val="2"/>
        </w:numPr>
        <w:spacing w:after="60" w:line="276"/>
      </w:pPr>
      <w:r>
        <w:rPr>
          <w:rFonts w:ascii="Calibri" w:cs="Calibri" w:eastAsia="Calibri" w:hAnsi="Calibri"/>
          <w:sz w:val="21"/>
          <w:szCs w:val="21"/>
        </w:rPr>
        <w:t xml:space="preserve">If the employer reports severance on a 1099, ask for it to be corrected to a W-2 before filing; if that fails, get advice on how to report it, since putting it on Schedule C both misstates the income and overstates the retirement contribution it can support.</w:t>
      </w:r>
    </w:p>
    <w:p>
      <w:pPr>
        <w:pStyle w:val="ListParagraph"/>
        <w:numPr>
          <w:ilvl w:val="0"/>
          <w:numId w:val="2"/>
        </w:numPr>
        <w:spacing w:after="60" w:line="276"/>
      </w:pPr>
      <w:r>
        <w:rPr>
          <w:rFonts w:ascii="Calibri" w:cs="Calibri" w:eastAsia="Calibri" w:hAnsi="Calibri"/>
          <w:sz w:val="21"/>
          <w:szCs w:val="21"/>
        </w:rPr>
        <w:t xml:space="preserve">An LLC is optional for real consulting income. It can add state-law liability protection and help keep finances separate, but it does not change the federal income tax result for a single owner; an S-election is a separate decision that follows the breakeven analysis covered elsewhere in this guide.</w:t>
      </w:r>
    </w:p>
    <w:p>
      <w:pPr>
        <w:pStyle w:val="ListParagraph"/>
        <w:numPr>
          <w:ilvl w:val="0"/>
          <w:numId w:val="2"/>
        </w:numPr>
        <w:spacing w:after="60" w:line="276"/>
      </w:pPr>
      <w:r>
        <w:rPr>
          <w:rFonts w:ascii="Calibri" w:cs="Calibri" w:eastAsia="Calibri" w:hAnsi="Calibri"/>
          <w:sz w:val="21"/>
          <w:szCs w:val="21"/>
        </w:rPr>
        <w:t xml:space="preserve">Job-search costs are not deductible as expenses of a new consulting practice, and unreimbursed employee expenses (including job search) are no longer deductible for individuals.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separating from a company is offered $200,000 of severance plus a six-month consulting agreement at $15,000 per month for transition work performed on his own schedule. The severance is wages: the company pays it through payroll with withholding and reports it on his W-2, and nothing he does afterward can convert it into business income. The consulting fees are self-employment income reported on Schedule C, which lets him make a solo 401(k) contribution based on his net earnings from the consulting work and deduct a qualifying home office — the same result whether or not he forms an LLC to hold the engagement.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6654(g) and § 31(a) — withholding treated as paid ratably through the year</w:t>
      </w:r>
    </w:p>
    <w:p>
      <w:pPr>
        <w:pStyle w:val="ListParagraph"/>
        <w:numPr>
          <w:ilvl w:val="0"/>
          <w:numId w:val="2"/>
        </w:numPr>
        <w:spacing w:after="60" w:line="276"/>
      </w:pPr>
      <w:r>
        <w:rPr>
          <w:rFonts w:ascii="Calibri" w:cs="Calibri" w:eastAsia="Calibri" w:hAnsi="Calibri"/>
          <w:sz w:val="21"/>
          <w:szCs w:val="21"/>
        </w:rPr>
        <w:t xml:space="preserve">Treas. Reg. § 31.3402(g)-1 and IRS Publication 15 (Circular E) — supplemental wage withholding</w:t>
      </w:r>
    </w:p>
    <w:p>
      <w:pPr>
        <w:spacing w:after="120"/>
      </w:pP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(22%, with mandatory 37% withholding on supplemental wages above $1 million in a year)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 (applies to "stock or securities")</w:t>
      </w:r>
    </w:p>
    <w:p>
      <w:pPr>
        <w:pStyle w:val="ListParagraph"/>
        <w:numPr>
          <w:ilvl w:val="0"/>
          <w:numId w:val="2"/>
        </w:numPr>
        <w:spacing w:after="60" w:line="276"/>
      </w:pPr>
      <w:r>
        <w:rPr>
          <w:rFonts w:ascii="Calibri" w:cs="Calibri" w:eastAsia="Calibri" w:hAnsi="Calibri"/>
          <w:sz w:val="21"/>
          <w:szCs w:val="21"/>
        </w:rPr>
        <w:t xml:space="preserve">IRS Notice 2014-21 — virtual currency treated as property for federal tax purposes</w:t>
      </w:r>
    </w:p>
    <w:p>
      <w:pPr>
        <w:spacing w:after="120"/>
      </w:pP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pStyle w:val="ListParagraph"/>
        <w:numPr>
          <w:ilvl w:val="0"/>
          <w:numId w:val="2"/>
        </w:numPr>
        <w:spacing w:after="60" w:line="276"/>
      </w:pPr>
      <w:r>
        <w:rPr>
          <w:rFonts w:ascii="Calibri" w:cs="Calibri" w:eastAsia="Calibri" w:hAnsi="Calibri"/>
          <w:sz w:val="21"/>
          <w:szCs w:val="21"/>
        </w:rPr>
        <w:t xml:space="preserve">A sale followed by an immediate repurchase of the same asset has no effect beyond the tax loss, so it carries some risk of challenge under the economic substance doctrine (§ 7701(o)) even without a wash-sale rule — a short gap before repurchasing reduces that risk. The repurchased position also starts a new short-term holding period.</w:t>
      </w:r>
    </w:p>
    <w:p>
      <w:pPr>
        <w:pStyle w:val="ListParagraph"/>
        <w:numPr>
          <w:ilvl w:val="0"/>
          <w:numId w:val="2"/>
        </w:numPr>
        <w:spacing w:after="60" w:line="276"/>
      </w:pPr>
      <w:r>
        <w:rPr>
          <w:rFonts w:ascii="Calibri" w:cs="Calibri" w:eastAsia="Calibri" w:hAnsi="Calibri"/>
          <w:sz w:val="21"/>
          <w:szCs w:val="21"/>
        </w:rPr>
        <w:t xml:space="preserve">Brokers now report digital-asset sales on Form 1099-DA (gross proceeds for 2025 sales, and cost basis for covered assets acquired from 2026 on), so harvested losses will be matched against broker reporting — keep records that reconcile to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475(f) — mark-to-market election for traders in securities or commodities</w:t>
      </w:r>
    </w:p>
    <w:p>
      <w:pPr>
        <w:pStyle w:val="ListParagraph"/>
        <w:numPr>
          <w:ilvl w:val="0"/>
          <w:numId w:val="2"/>
        </w:numPr>
        <w:spacing w:after="60" w:line="276"/>
      </w:pPr>
      <w:r>
        <w:rPr>
          <w:rFonts w:ascii="Calibri" w:cs="Calibri" w:eastAsia="Calibri" w:hAnsi="Calibri"/>
          <w:sz w:val="21"/>
          <w:szCs w:val="21"/>
        </w:rPr>
        <w:t xml:space="preserve">Rev. Proc. 99-17 — procedures for making the § 475(f) election</w:t>
      </w:r>
    </w:p>
    <w:p>
      <w:pPr>
        <w:spacing w:after="120"/>
      </w:pP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which converts the trader’s gains and losses from capital to ordinary — so trading losses are no longer limited to $3,000 a year against other income, and the wash-sale rule no longer applies to the trading positions.</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most importantly, it changes the character of trading gains and losses from capital to ordinary. Without the election, even a full-time trader’s gains and losses are capital — short-term capital gains are taxed at ordinary rates, but net capital losses can offset only $3,000 of other income a year. With the election, a losing year produces an ordinary loss that can offset wages and other income and can create a net operating loss. Open positions are marked to market at year-end, and gains and losses are reported on Form 4797 rather than Schedule D. Basis still has to be tracked for each position; the election removes the wash-sale and holding-period bookkeeping, not the need for records.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does not change the tax rate on gains — short-term capital gains are already taxed at ordinary rates — so the main benefits are ordinary-loss treatment in a losing year and relief from the wash-sale rule. The cost is that everything becomes ordinary, forfeiting the long-term rate on any positions that would otherwise have qualified, and the election generally binds later years unless the IRS consents to revoke it. Mark-to-market trading gains are not subject to self-employment tax, and trading is a specified service business for purposes of the § 199A deduction.</w:t>
      </w:r>
    </w:p>
    <w:p>
      <w:pPr>
        <w:pStyle w:val="ListParagraph"/>
        <w:numPr>
          <w:ilvl w:val="0"/>
          <w:numId w:val="2"/>
        </w:numPr>
        <w:spacing w:after="60" w:line="276"/>
      </w:pPr>
      <w:r>
        <w:rPr>
          <w:rFonts w:ascii="Calibri" w:cs="Calibri" w:eastAsia="Calibri" w:hAnsi="Calibri"/>
          <w:sz w:val="21"/>
          <w:szCs w:val="21"/>
        </w:rPr>
        <w:t xml:space="preserve">The election is generally made by the original due date (without extensions) of the return for the year before the one to which it applies, by attaching a statement to that return or to an extension request for it,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 it makes the election by placing a statement in its own books and records within two months and 15 days after the start of its first tax year, and attaches a copy to its first return.</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in its own books and records within its first two and a half months, as a new taxpayer may do, since there is no prior-year return to attach it to. Because the entity’s trading activity is already entirely short-term and ordinary in character, the election does not change its tax rate; its practical effects are that the wash-sale rule no longer applies across its tens of thousands of trades and that, in a losing year, the loss is fully deductible as ordinary rather than limited as a capital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280F — limitations on depreciation for luxury automobiles and listed property</w:t>
      </w:r>
    </w:p>
    <w:p>
      <w:pPr>
        <w:pStyle w:val="ListParagraph"/>
        <w:numPr>
          <w:ilvl w:val="0"/>
          <w:numId w:val="2"/>
        </w:numPr>
        <w:spacing w:after="60" w:line="276"/>
      </w:pPr>
      <w:r>
        <w:rPr>
          <w:rFonts w:ascii="Calibri" w:cs="Calibri" w:eastAsia="Calibri" w:hAnsi="Calibri"/>
          <w:sz w:val="21"/>
          <w:szCs w:val="21"/>
        </w:rPr>
        <w:t xml:space="preserve">Rev. Proc. 2019-26 (and successor guidance) — luxury-auto depreciation limits</w:t>
      </w:r>
    </w:p>
    <w:p>
      <w:pPr>
        <w:spacing w:after="120"/>
      </w:pP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a separate, lower § 179 dollar cap for SUVs — about $31,300 for 2025, indexed — which does not limit bonus depreciation)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ordinary-income recapture. Trading it in does not avoid this: since 2018, like-kind exchange treatment is limited to real property, so a trade-in is treated as a taxable sale of the old vehicle.</w:t>
      </w:r>
    </w:p>
    <w:p>
      <w:pPr>
        <w:pStyle w:val="ListParagraph"/>
        <w:numPr>
          <w:ilvl w:val="0"/>
          <w:numId w:val="2"/>
        </w:numPr>
        <w:spacing w:after="60" w:line="276"/>
      </w:pPr>
      <w:r>
        <w:rPr>
          <w:rFonts w:ascii="Calibri" w:cs="Calibri" w:eastAsia="Calibri" w:hAnsi="Calibri"/>
          <w:sz w:val="21"/>
          <w:szCs w:val="21"/>
        </w:rPr>
        <w:t xml:space="preserve">Bonus depreciation and § 179 are available only if the vehicle is used more than 50% for qualified business use in the year it is placed in service; if business use later drops to 50% or less, the excess depreciation is recaptured as income (§ 280F(b)).</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(100% for vehicles acquired after January 19, 2025), rather than being spread out over several years under the luxury-auto caps that would apply to a lighter vehicle of the same price.</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2026-08-30T20:31:27.197Z</dcterms:created>
  <dcterms:modified xsi:type="dcterms:W3CDTF">2026-08-30T20:31:27.197Z</dcterms:modified>
</cp:coreProperties>
</file>

<file path=docProps/custom.xml><?xml version="1.0" encoding="utf-8"?>
<Properties xmlns="http://schemas.openxmlformats.org/officeDocument/2006/custom-properties" xmlns:vt="http://schemas.openxmlformats.org/officeDocument/2006/docPropsVTypes"/>
</file>