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residency and domicile rules (vary by state)</w:t>
      </w:r>
    </w:p>
    <w:p>
      <w:pPr>
        <w:pStyle w:val="ListParagraph"/>
        <w:numPr>
          <w:ilvl w:val="0"/>
          <w:numId w:val="2"/>
        </w:numPr>
        <w:spacing w:after="60" w:line="276"/>
      </w:pPr>
      <w:r>
        <w:rPr>
          <w:rFonts w:ascii="Calibri" w:cs="Calibri" w:eastAsia="Calibri" w:hAnsi="Calibri"/>
          <w:sz w:val="21"/>
          <w:szCs w:val="21"/>
        </w:rPr>
        <w:t xml:space="preserve">State conformity to federal capital-gains treatment (varies by state)</w:t>
      </w:r>
    </w:p>
    <w:p>
      <w:pPr>
        <w:spacing w:after="120"/>
      </w:pP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6654(d)(2) — annualized income installment method</w:t>
      </w:r>
    </w:p>
    <w:p>
      <w:pPr>
        <w:pStyle w:val="ListParagraph"/>
        <w:numPr>
          <w:ilvl w:val="0"/>
          <w:numId w:val="2"/>
        </w:numPr>
        <w:spacing w:after="60" w:line="276"/>
      </w:pPr>
      <w:r>
        <w:rPr>
          <w:rFonts w:ascii="Calibri" w:cs="Calibri" w:eastAsia="Calibri" w:hAnsi="Calibri"/>
          <w:sz w:val="21"/>
          <w:szCs w:val="21"/>
        </w:rPr>
        <w:t xml:space="preserve">IRS Form 2210, Schedule AI — annualized income installment worksheet</w:t>
      </w:r>
    </w:p>
    <w:p>
      <w:pPr>
        <w:spacing w:after="120"/>
      </w:pP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31(b) — credit for excess Social Security tax withheld</w:t>
      </w:r>
    </w:p>
    <w:p>
      <w:pPr>
        <w:pStyle w:val="ListParagraph"/>
        <w:numPr>
          <w:ilvl w:val="0"/>
          <w:numId w:val="2"/>
        </w:numPr>
        <w:spacing w:after="60" w:line="276"/>
      </w:pPr>
      <w:r>
        <w:rPr>
          <w:rFonts w:ascii="Calibri" w:cs="Calibri" w:eastAsia="Calibri" w:hAnsi="Calibri"/>
          <w:sz w:val="21"/>
          <w:szCs w:val="21"/>
        </w:rPr>
        <w:t xml:space="preserve">IRS Schedule 3 (Form 1040) — excess Social Security and RRTA tax withheld</w:t>
      </w:r>
    </w:p>
    <w:p>
      <w:pPr>
        <w:spacing w:after="120"/>
      </w:pP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1.199A-5(c)(1) — the 10% de minimis rule for incidental SSTB activity</w:t>
      </w:r>
    </w:p>
    <w:p>
      <w:pPr>
        <w:pStyle w:val="ListParagraph"/>
        <w:numPr>
          <w:ilvl w:val="0"/>
          <w:numId w:val="2"/>
        </w:numPr>
        <w:spacing w:after="60" w:line="276"/>
      </w:pPr>
      <w:r>
        <w:rPr>
          <w:rFonts w:ascii="Calibri" w:cs="Calibri" w:eastAsia="Calibri" w:hAnsi="Calibri"/>
          <w:sz w:val="21"/>
          <w:szCs w:val="21"/>
        </w:rPr>
        <w:t xml:space="preserve">Treas. Reg. § 1.199A-5(c)(2) — anti-abuse rule for businesses providing property or services to a related SSTB</w:t>
      </w:r>
    </w:p>
    <w:p>
      <w:pPr>
        <w:spacing w:after="120"/>
      </w:pP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42 U.S.C. § 1396p(d)(4) — special needs trust exceptions to Medicaid trust rules</w:t>
      </w:r>
    </w:p>
    <w:p>
      <w:pPr>
        <w:pStyle w:val="ListParagraph"/>
        <w:numPr>
          <w:ilvl w:val="0"/>
          <w:numId w:val="2"/>
        </w:numPr>
        <w:spacing w:after="60" w:line="276"/>
      </w:pPr>
      <w:r>
        <w:rPr>
          <w:rFonts w:ascii="Calibri" w:cs="Calibri" w:eastAsia="Calibri" w:hAnsi="Calibri"/>
          <w:sz w:val="21"/>
          <w:szCs w:val="21"/>
        </w:rPr>
        <w:t xml:space="preserve">IRC § 641 et seq. — taxation of trusts</w:t>
      </w:r>
    </w:p>
    <w:p>
      <w:pPr>
        <w:spacing w:after="120"/>
      </w:pP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45F — employer-provided child care credit</w:t>
      </w:r>
    </w:p>
    <w:p>
      <w:pPr>
        <w:pStyle w:val="ListParagraph"/>
        <w:numPr>
          <w:ilvl w:val="0"/>
          <w:numId w:val="2"/>
        </w:numPr>
        <w:spacing w:after="60" w:line="276"/>
      </w:pPr>
      <w:r>
        <w:rPr>
          <w:rFonts w:ascii="Calibri" w:cs="Calibri" w:eastAsia="Calibri" w:hAnsi="Calibri"/>
          <w:sz w:val="21"/>
          <w:szCs w:val="21"/>
        </w:rPr>
        <w:t xml:space="preserve">IRS Form 8882 — credit for employer-provided child care facilities and services</w:t>
      </w:r>
    </w:p>
    <w:p>
      <w:pPr>
        <w:spacing w:after="120"/>
      </w:pP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172 — net operating loss deduction</w:t>
      </w:r>
    </w:p>
    <w:p>
      <w:pPr>
        <w:pStyle w:val="ListParagraph"/>
        <w:numPr>
          <w:ilvl w:val="0"/>
          <w:numId w:val="2"/>
        </w:numPr>
        <w:spacing w:after="60" w:line="276"/>
      </w:pPr>
      <w:r>
        <w:rPr>
          <w:rFonts w:ascii="Calibri" w:cs="Calibri" w:eastAsia="Calibri" w:hAnsi="Calibri"/>
          <w:sz w:val="21"/>
          <w:szCs w:val="21"/>
        </w:rPr>
        <w:t xml:space="preserve">IRC § 172(a)(2) — the 80%-of-taxable-income limitation</w:t>
      </w:r>
    </w:p>
    <w:p>
      <w:pPr>
        <w:spacing w:after="120"/>
      </w:pP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6081 — extension of time for filing returns</w:t>
      </w:r>
    </w:p>
    <w:p>
      <w:pPr>
        <w:pStyle w:val="ListParagraph"/>
        <w:numPr>
          <w:ilvl w:val="0"/>
          <w:numId w:val="2"/>
        </w:numPr>
        <w:spacing w:after="60" w:line="276"/>
      </w:pPr>
      <w:r>
        <w:rPr>
          <w:rFonts w:ascii="Calibri" w:cs="Calibri" w:eastAsia="Calibri" w:hAnsi="Calibri"/>
          <w:sz w:val="21"/>
          <w:szCs w:val="21"/>
        </w:rPr>
        <w:t xml:space="preserve">Rev. Rul. 78-256 — superseding returns</w:t>
      </w:r>
    </w:p>
    <w:p>
      <w:pPr>
        <w:spacing w:after="120"/>
      </w:pP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267(a)(2) — matching of deduction and inclusion for related-party payments</w:t>
      </w:r>
    </w:p>
    <w:p>
      <w:pPr>
        <w:pStyle w:val="ListParagraph"/>
        <w:numPr>
          <w:ilvl w:val="0"/>
          <w:numId w:val="2"/>
        </w:numPr>
        <w:spacing w:after="60" w:line="276"/>
      </w:pPr>
      <w:r>
        <w:rPr>
          <w:rFonts w:ascii="Calibri" w:cs="Calibri" w:eastAsia="Calibri" w:hAnsi="Calibri"/>
          <w:sz w:val="21"/>
          <w:szCs w:val="21"/>
        </w:rPr>
        <w:t xml:space="preserve">Treas. Reg. § 1.267(a)-1</w:t>
      </w:r>
    </w:p>
    <w:p>
      <w:pPr>
        <w:spacing w:after="120"/>
      </w:pP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1563 — controlled group definitions and attribution rules</w:t>
      </w:r>
    </w:p>
    <w:p>
      <w:pPr>
        <w:pStyle w:val="ListParagraph"/>
        <w:numPr>
          <w:ilvl w:val="0"/>
          <w:numId w:val="2"/>
        </w:numPr>
        <w:spacing w:after="60" w:line="276"/>
      </w:pPr>
      <w:r>
        <w:rPr>
          <w:rFonts w:ascii="Calibri" w:cs="Calibri" w:eastAsia="Calibri" w:hAnsi="Calibri"/>
          <w:sz w:val="21"/>
          <w:szCs w:val="21"/>
        </w:rPr>
        <w:t xml:space="preserve">IRC § 414(m) — affiliated service groups</w:t>
      </w:r>
    </w:p>
    <w:p>
      <w:pPr>
        <w:pStyle w:val="ListParagraph"/>
        <w:numPr>
          <w:ilvl w:val="0"/>
          <w:numId w:val="2"/>
        </w:numPr>
        <w:spacing w:after="60" w:line="276"/>
      </w:pPr>
      <w:r>
        <w:rPr>
          <w:rFonts w:ascii="Calibri" w:cs="Calibri" w:eastAsia="Calibri" w:hAnsi="Calibri"/>
          <w:sz w:val="21"/>
          <w:szCs w:val="21"/>
        </w:rPr>
        <w:t xml:space="preserve">IRC § 414(b) and (c) — controlled group aggregation for qualified plan purposes</w:t>
      </w:r>
    </w:p>
    <w:p>
      <w:pPr>
        <w:spacing w:after="120"/>
      </w:pP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704(d) — limitation on allowance of partner's share of loss</w:t>
      </w:r>
    </w:p>
    <w:p>
      <w:pPr>
        <w:pStyle w:val="ListParagraph"/>
        <w:numPr>
          <w:ilvl w:val="0"/>
          <w:numId w:val="2"/>
        </w:numPr>
        <w:spacing w:after="60" w:line="276"/>
      </w:pPr>
      <w:r>
        <w:rPr>
          <w:rFonts w:ascii="Calibri" w:cs="Calibri" w:eastAsia="Calibri" w:hAnsi="Calibri"/>
          <w:sz w:val="21"/>
          <w:szCs w:val="21"/>
        </w:rPr>
        <w:t xml:space="preserve">IRC § 705 — determination of basis of partner's interest</w:t>
      </w:r>
    </w:p>
    <w:p>
      <w:pPr>
        <w:spacing w:after="120"/>
      </w:pP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resident-credit statutes for taxes paid to other states (varies by state)</w:t>
      </w:r>
    </w:p>
    <w:p>
      <w:pPr>
        <w:pStyle w:val="ListParagraph"/>
        <w:numPr>
          <w:ilvl w:val="0"/>
          <w:numId w:val="2"/>
        </w:numPr>
        <w:spacing w:after="60" w:line="276"/>
      </w:pPr>
      <w:r>
        <w:rPr>
          <w:rFonts w:ascii="Calibri" w:cs="Calibri" w:eastAsia="Calibri" w:hAnsi="Calibri"/>
          <w:sz w:val="21"/>
          <w:szCs w:val="21"/>
        </w:rPr>
        <w:t xml:space="preserve">Multistate Tax Compact and reciprocity agreements (where applicable)</w:t>
      </w:r>
    </w:p>
    <w:p>
      <w:pPr>
        <w:spacing w:after="120"/>
      </w:pP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7872 — treatment of loans with below-market interest rates</w:t>
      </w:r>
    </w:p>
    <w:p>
      <w:pPr>
        <w:pStyle w:val="ListParagraph"/>
        <w:numPr>
          <w:ilvl w:val="0"/>
          <w:numId w:val="2"/>
        </w:numPr>
        <w:spacing w:after="60" w:line="276"/>
      </w:pPr>
      <w:r>
        <w:rPr>
          <w:rFonts w:ascii="Calibri" w:cs="Calibri" w:eastAsia="Calibri" w:hAnsi="Calibri"/>
          <w:sz w:val="21"/>
          <w:szCs w:val="21"/>
        </w:rPr>
        <w:t xml:space="preserve">IRS Applicable Federal Rates (AFR), published monthly</w:t>
      </w:r>
    </w:p>
    <w:p>
      <w:pPr>
        <w:spacing w:after="120"/>
      </w:pP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267 — losses, expenses, and interest with respect to transactions between related taxpayers</w:t>
      </w:r>
    </w:p>
    <w:p>
      <w:pPr>
        <w:pStyle w:val="ListParagraph"/>
        <w:numPr>
          <w:ilvl w:val="0"/>
          <w:numId w:val="2"/>
        </w:numPr>
        <w:spacing w:after="60" w:line="276"/>
      </w:pPr>
      <w:r>
        <w:rPr>
          <w:rFonts w:ascii="Calibri" w:cs="Calibri" w:eastAsia="Calibri" w:hAnsi="Calibri"/>
          <w:sz w:val="21"/>
          <w:szCs w:val="21"/>
        </w:rPr>
        <w:t xml:space="preserve">IRC § 168(k) — bonus depreciation eligibility requirements (the "acquired from an unrelated party" test)</w:t>
      </w:r>
    </w:p>
    <w:p>
      <w:pPr>
        <w:pStyle w:val="ListParagraph"/>
        <w:numPr>
          <w:ilvl w:val="0"/>
          <w:numId w:val="2"/>
        </w:numPr>
        <w:spacing w:after="60" w:line="276"/>
      </w:pPr>
      <w:r>
        <w:rPr>
          <w:rFonts w:ascii="Calibri" w:cs="Calibri" w:eastAsia="Calibri" w:hAnsi="Calibri"/>
          <w:sz w:val="21"/>
          <w:szCs w:val="21"/>
        </w:rPr>
        <w:t xml:space="preserve">IRC § 179 — election to expense certain depreciable business assets</w:t>
      </w:r>
    </w:p>
    <w:p>
      <w:pPr>
        <w:spacing w:after="120"/>
      </w:pP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1366 and § 1372 — S corporation shareholder compensation treatment</w:t>
      </w:r>
    </w:p>
    <w:p>
      <w:pPr>
        <w:pStyle w:val="ListParagraph"/>
        <w:numPr>
          <w:ilvl w:val="0"/>
          <w:numId w:val="2"/>
        </w:numPr>
        <w:spacing w:after="60" w:line="276"/>
      </w:pPr>
      <w:r>
        <w:rPr>
          <w:rFonts w:ascii="Calibri" w:cs="Calibri" w:eastAsia="Calibri" w:hAnsi="Calibri"/>
          <w:sz w:val="21"/>
          <w:szCs w:val="21"/>
        </w:rPr>
        <w:t xml:space="preserve">IRS reasonable compensation guidance for S corporation officers</w:t>
      </w:r>
    </w:p>
    <w:p>
      <w:pPr>
        <w:pStyle w:val="ListParagraph"/>
        <w:numPr>
          <w:ilvl w:val="0"/>
          <w:numId w:val="2"/>
        </w:numPr>
        <w:spacing w:after="60" w:line="276"/>
      </w:pPr>
      <w:r>
        <w:rPr>
          <w:rFonts w:ascii="Calibri" w:cs="Calibri" w:eastAsia="Calibri" w:hAnsi="Calibri"/>
          <w:sz w:val="21"/>
          <w:szCs w:val="21"/>
        </w:rPr>
        <w:t xml:space="preserve">IRC § 1401 — self-employment tax</w:t>
      </w:r>
    </w:p>
    <w:p>
      <w:pPr>
        <w:spacing w:after="120"/>
      </w:pP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 limitation on exclusion for elective deferrals</w:t>
      </w:r>
    </w:p>
    <w:p>
      <w:pPr>
        <w:pStyle w:val="ListParagraph"/>
        <w:numPr>
          <w:ilvl w:val="0"/>
          <w:numId w:val="2"/>
        </w:numPr>
        <w:spacing w:after="60" w:line="276"/>
      </w:pPr>
      <w:r>
        <w:rPr>
          <w:rFonts w:ascii="Calibri" w:cs="Calibri" w:eastAsia="Calibri" w:hAnsi="Calibri"/>
          <w:sz w:val="21"/>
          <w:szCs w:val="21"/>
        </w:rPr>
        <w:t xml:space="preserve">IRS annual retirement plan contribution limit notices</w:t>
      </w:r>
    </w:p>
    <w:p>
      <w:pPr>
        <w:spacing w:after="120"/>
      </w:pP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1060 — special allocation rules for certain asset acquisitions</w:t>
      </w:r>
    </w:p>
    <w:p>
      <w:pPr>
        <w:pStyle w:val="ListParagraph"/>
        <w:numPr>
          <w:ilvl w:val="0"/>
          <w:numId w:val="2"/>
        </w:numPr>
        <w:spacing w:after="60" w:line="276"/>
      </w:pPr>
      <w:r>
        <w:rPr>
          <w:rFonts w:ascii="Calibri" w:cs="Calibri" w:eastAsia="Calibri" w:hAnsi="Calibri"/>
          <w:sz w:val="21"/>
          <w:szCs w:val="21"/>
        </w:rPr>
        <w:t xml:space="preserve">Form 8594 — Asset Acquisition Statement Under Section 1060</w:t>
      </w:r>
    </w:p>
    <w:p>
      <w:pPr>
        <w:pStyle w:val="ListParagraph"/>
        <w:numPr>
          <w:ilvl w:val="0"/>
          <w:numId w:val="2"/>
        </w:numPr>
        <w:spacing w:after="60" w:line="276"/>
      </w:pPr>
      <w:r>
        <w:rPr>
          <w:rFonts w:ascii="Calibri" w:cs="Calibri" w:eastAsia="Calibri" w:hAnsi="Calibri"/>
          <w:sz w:val="21"/>
          <w:szCs w:val="21"/>
        </w:rPr>
        <w:t xml:space="preserve">IRC § 1221 and § 1231 — capital asset and business-property gain characterization</w:t>
      </w:r>
    </w:p>
    <w:p>
      <w:pPr>
        <w:spacing w:after="120"/>
      </w:pP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the business for a lump-sum price. The buyer's initial draft purchase agreement allocates the large majority of the price to depreciable tangible assets and inventory, since that lets the buyer begin depreciating and expensing the purchase quickly. Because those categories are taxed as ordinary income to the seller, and the seller is separately carrying capital losses from an unrelated investment account, the initial allocation would tax most of the sale at ordinary rates while leaving the seller's capital losses largely unused. During negotiation, the seller pushes for a larger share of the price to be allocated to goodwill instead, which is taxed at capital-gain rates and allows the existing capital losses to offset a meaningful portion of the gain — materially lowering the seller's total tax on the transaction without changing the total sale price at all.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negotiation that is easy to lose by default — if a seller's advisor is not brought in before the purchase agreement is drafted, the allocation table can arrive already built around the buyer's preferences, at which point renegotiating it costs real leverage rather than being a simple ask.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SECURE 2.0 Act of 2022, § 201 — retroactive first-year employer retirement plan election</w:t>
      </w:r>
    </w:p>
    <w:p>
      <w:pPr>
        <w:pStyle w:val="ListParagraph"/>
        <w:numPr>
          <w:ilvl w:val="0"/>
          <w:numId w:val="2"/>
        </w:numPr>
        <w:spacing w:after="60" w:line="276"/>
      </w:pPr>
      <w:r>
        <w:rPr>
          <w:rFonts w:ascii="Calibri" w:cs="Calibri" w:eastAsia="Calibri" w:hAnsi="Calibri"/>
          <w:sz w:val="21"/>
          <w:szCs w:val="21"/>
        </w:rPr>
        <w:t xml:space="preserve">IRC § 401(b) — employer plan adoption deadline rules</w:t>
      </w:r>
    </w:p>
    <w:p>
      <w:pPr>
        <w:spacing w:after="120"/>
      </w:pP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2026-09-05T21:25:56.393Z</dcterms:created>
  <dcterms:modified xsi:type="dcterms:W3CDTF">2026-09-05T21:25:56.393Z</dcterms:modified>
</cp:coreProperties>
</file>

<file path=docProps/custom.xml><?xml version="1.0" encoding="utf-8"?>
<Properties xmlns="http://schemas.openxmlformats.org/officeDocument/2006/custom-properties" xmlns:vt="http://schemas.openxmlformats.org/officeDocument/2006/docPropsVTypes"/>
</file>