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$45,000 SUV titled in the company's name and uses it for both client visits and personal errands. Over the year she drives 18,000 total miles, of which a contemporaneous mileage-log app records 12,600 as business trips (70%) — each entry time-stamped automatically with date, mileage, and a business-purpose note typed in at the time of the trip. Total vehicle costs for the year (depreciation limited under § 280F, insurance, fuel, maintenance) come to $14,000. Because 70% of the mileage is properly substantiated as business use, the company deducts 70% × $14,000 = $9,800; the remaining 30%, or $4,200 of cost, is personal and non-deductible, and because the vehicle is titled to the company, that same $4,200 of personal-use value must additionally be added to her W-2 wages as a taxable fringe benefit under Treas. Reg. § 1.61-21. Contrast this with a second owner who drives a similar vehicle and estimates "about 70% business use" without any log at all: on examination, the IRS disallows the entire deduction — not 30% of it, all of it — because § 274(d)'s stricter substantiation standard treats an unsubstantiated estimate as no different from a random guess, regardless of whether the underlying business use was genuine.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gap between these two owners is not the accuracy of their estimate — both may have driven roughly 70% for business — it is entirely whether a contemporaneous record exists. This is the one area of the tax code where being probably right, but undocumented, produces the same result as being entirely wrong.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100,000 shares of founder-level stock directly from the corporation at a nominal $0.01 par value ($1,000 total), when the company's gross assets are well under the qualifying threshold. She holds the stock for six years while the company grows, and it is eventually acquired, with her shares worth $12,000,000 at sale. Her gain is $11,999,000 ($12,000,000 minus her $1,000 basis). Because the stock qualifies as QSBS and was held beyond the five-year threshold, her exclusion cap is the greater of $10,000,000 or 10 times her basis (10 × $1,000 = $10,000) — so $10,000,000 of her gain is excluded from federal income tax entirely, and only the remaining $1,999,000 is taxed as ordinary long-term capital gain. Had she instead sold identical stock in an S-corporation (which cannot issue QSBS at all) or held it for only four years, none of the $11,999,000 gain would have qualified for any exclusion — the entire amount would have been taxed at ordinary capital-gains rates, a difference worth well over $2,000,000 in federal tax at typical capital-gains rates on the excluded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earns well above the income threshold where direct Roth IRA contributions are phased out to zero, so neither can contribute to a Roth IRA directly. Neither has any existing traditional, SEP, or SIMPLE IRA balance. Each contributes the $7,000 annual maximum as a nondeductible contribution to a new traditional IRA — $14,000 combined — then, three weeks later, converts the full balance to a Roth IRA once a few dollars of interest have accrued. Because there are no other pre-tax IRA dollars anywhere for either spouse, the pro-rata rule has nothing to prorate against: the conversion is taxable only on the roughly $20 of interim interest earned, not on the $14,000 of principal, which was already after-tax money. Both spouses file Form 8606 for the contribution year documenting the $7,000 as nondeductible basis, and again for the conversion year. Contrast this with a similar couple where one spouse has a $200,000 rollover 401(k) sitting in a traditional IRA: contributing $7,000 nondeductible and converting it would be treated as roughly 97% pre-tax and 3% after-tax across the combined $207,000 balance — making about $6,780 of the $7,000 conversion taxable, not tax-free as intended, unless that $200,000 balance is first rolled into an employer 401(k) plan to remove it from the pro-rata calculation.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$23,500 maximum regular pre-tax deferral to her 401(k) for the year, and her employer has added a $9,000 matching contribution — $32,500 combined toward the overall § 415(c) annual-additions limit of $70,000. That leaves $37,500 of unused room under the higher combined-contribution ceiling. Her plan specifically permits additional after-tax employee contributions and in-plan Roth conversion, so she contributes the remaining $37,500 as after-tax dollars and converts it to the Roth portion of the same 401(k) within days, before any meaningful growth accrues. The result: she has sheltered $61,000 total in the plan for the year ($23,500 pre-tax deferral plus $37,500 mega-backdoor Roth, plus the $9,000 match) — nearly triple the $23,500 a standard 401(k) deferral alone would have allowed — with the $37,500 mega-backdoor portion now growing completely tax-free for the rest of her working life. Had her plan not permitted in-plan Roth conversion or in-service withdrawal of after-tax contributions, none of this $37,500 of extra room would have been usable this way, regardless of how much space existed under the $70,000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fund a new grandchild's 529 plan and have significant assets they would like to move out of their eventual taxable estate. At a $19,000 annual gift-tax exclusion per person per recipient, a single grandparent could ordinarily give only $19,000 tax-free to the grandchild this year. By electing five-year averaging under § 529(c)(2)(B), that same grandparent can instead contribute $95,000 ($19,000 × 5) in one lump sum today, treated as if it had been given $19,000 per year for five years — no gift tax owed, and none of the couple's combined multi-million-dollar lifetime exemption used, just a Form 709 filed to document the election. Because the grandmother and grandfather can each make this election, and each can do so separately for each grandchild, a couple with three grandchildren can move up to $570,000 ($95,000 × 2 grandparents × 3 grandchildren) out of their estate in a single year, all of it immediately invested and compounding tax-free for education rather than trickling in over five separate annual gifts. The tradeoff: if either grandparent gives any of these three grandchildren additional gifts during the next five years, or if a grandparent dies partway through the five-year period, the unused portion of that grandchild's election is added back into that grandparent's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earning $220,000 in W-2 wages from her regular job buys a $650,000 vacation property and rents it out exclusively through short-term booking platforms, with an average guest stay of four nights across the year. A cost segregation study reclassifies roughly 25% of the building's value ($162,500) into 5- and 15-year components, generating a $158,000 first-year bonus-depreciation loss once operating expenses are added in. She personally manages bookings, cleaning coordination, and guest communication, logging 600 hours over the year — more than anyone else involved with the property. Because the average stay is under seven days (satisfying the regulatory carve-out) and she materially participates (satisfying the 500-hour test), the activity is non-passive: the full $158,000 loss offsets her $220,000 of W-2 wages directly, cutting her taxable income to $62,000 and saving roughly $52,000 in federal tax at a 33% marginal rate — with no grouping election and no real-estate-professional status required. Had she instead hired a full-time property manager to handle bookings and guest communication, the same $158,000 loss would very likely fail the material-participation test despite the average-stay test still being met, leaving the loss suspended as passive with no current benefit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Over the years, his share of depreciation losses (fully deductible against his outside basis) reduced his outside basis to zero, and further allocated losses beyond that point were simply suspended — meanwhile the partnership continued to carry $8,000,000 of mortgage debt, of which his 10% share is $800,000. He agrees to sell his interest for a modest $50,000 cash payment. His amount realized for tax purposes is not $50,000 — it is $50,000 of cash plus his $800,000 share of debt relief (since selling the interest relieves him of that allocated liability), for a total amount realized of $850,000. Because his outside basis is zero (already exhausted by prior losses), his entire $850,000 amount realized is taxable gain — a gain seventeen times larger than the cash he actually received. Before signing anything, his advisor pulls his K-1 history and confirms his outside basis and debt share precisely; without that step, he would have modeled his tax cost on the $50,000 cash price alone and been caught badly off guard by a $850,000 gain instead.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withholds $18,000 per quarter in federal income tax and FICA from employee paychecks but, facing a cash crunch, uses that withheld money to pay vendors and rent instead of remitting it to the IRS for three consecutive quarters — $54,000 total. An individual who holds a 15% ownership stake on paper, but who personally signs the checks and decides which bills get paid each week, is interviewed on IRS Form 4180. Because he had both the authority to pay the IRS and the actual knowledge that payroll taxes were going unpaid while other bills were covered instead, the IRS assesses the full $54,000 trust-fund recovery penalty against him personally under § 6672 — not the 15% his ownership percentage might suggest, but 100% of the unpaid trust-fund portion, collectible directly from his personal bank accounts, home equity, and future wages, with the LLC's liability shield providing no protection at all against this specific assessment.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retains $3,000,000 of after-tax profit over several years, paying no dividends, with no board-adopted plan for the cash and no documented reinvestment budget — the money simply accumulates in a money-market account while the shareholders draw modest salaries and otherwise fund their personal lifestyles through other, unrelated means. On examination, the IRS asserts the accumulated earnings tax: a flat 20% tax on accumulated taxable income beyond what the business can show it reasonably needed, which on an unexplained $3,000,000 accumulation is a $600,000 tax bill on top of the regular corporate tax already paid — with no dividend having ever actually been paid to anyone. Contrast this with a second, otherwise-identical corporation that retains the same $3,000,000, but whose board minutes each quarter document a specific, budgeted expansion plan (a new facility, a funded equipment purchase, working capital tied to a documented growth forecast) and whose shareholders are paid salaries a market compensation study supports. That corporation has a real, contemporaneously documented business reason for the accumulation and a strong defense against the same $600,000 tax — the difference between the two companies is not how much cash they kept, but whether they wrote down, as they went, why they kept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$500,000 vacation rental property abroad (excluding land value of $100,000, leaving $400,000 of depreciable basis) that has never been reported on a U.S. return despite years of rental activity. Brought current, the property must be depreciated under ADS: straight-line over 30 years, or $13,333 per year, with no bonus depreciation and no cost-segregation acceleration available. A comparable $400,000 U.S. property, by contrast, would depreciate over 27.5 years ($14,545 per year) and could additionally use cost segregation to pull 20-30% of that basis into 5-, 7-, or 15-year bonus-eligible components — potentially generating $80,000-$120,000 of accelerated first-year deduction that simply is not available for the foreign property under any circumstances. When the owner later sells the foreign property for a $300,000 gain, no like-kind exchange deferral is available either (§ 1031(h) specifically excludes foreign real property), so the full $300,000 is taxable in the year of sale — planning instead has to rely on other levers, such as timing the sale into a year with an offsetting capital loss.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executes 40,000 trades in its first year, with average holding periods measured in hours, generating $600,000 of net trading gains. Without the § 475(f) election, every one of those 40,000 trades must be tracked individually for cost basis, holding period, and wash-sale adjustments — a bookkeeping burden that alone can cost tens of thousands of dollars in preparation fees, and any trades reopened within 30 days after a loss trigger wash-sale deferrals that further complicate the calculation. By electing mark-to-market on its very first return (available without the twelve-month advance-filing deadline that applies to an already-existing trader), the entity instead marks all open positions to their December 31 fair value once, reports the entire $600,000 as ordinary income on a single aggregated schedule, and the wash-sale rule is eliminated entirely for these positions. Because virtually all of the entity's activity was already short-term (and therefore ordinary income) regardless, the election costs nothing in rate terms — the $600,000 would have been taxed at ordinary rates either way — while saving an estimated $30,000-$50,000 in bookkeeping and preparation costs that lot-by-lot tracking of 40,000 trades would otherwise have required.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earns $180,000 in brokerage commissions and also personally owns and manages seven rental properties worth a combined $3,500,000. Cost segregation studies across the portfolio generate a first-year loss of $420,000. She logs 900 hours on real estate work across the year (brokerage plus property management combined) — clearing the 750-hour threshold — and because she has no other job or profession competing for her time, more than half of her total working hours are in real property trades or businesses, clearing the second test as well. She makes a written § 1.469-9(g) election grouping all seven rentals into one activity, and her contemporaneous log shows 340 hours specifically on property management, more than any property manager or co-owner. With both tests cleared and material participation documented, the full $420,000 loss offsets her $180,000 of brokerage income plus other income, rather than being suspended as passive — a difference worth roughly $145,000 in current-year tax at a combined 35% marginal rate. Had she instead handed day-to-day management to a property-management company logging more hours than she did, the same $420,000 loss would have been trapped as passive despite her clearing the 750-hour/more-than-half test on paper.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sits well above the SSTB phase-out ceiling for their filing status. One spouse's dental practice — a health-field SSTB — generates $400,000 of qualified business income; at a 20% rate that would otherwise be an $80,000 deduction, but because household income is above the ceiling, the SSTB exclusion reduces it to exactly $0, regardless of how much W-2 wages the practice pays. The other spouse's real estate brokerage generates the same $400,000 of qualified business income and is not an SSTB, so its $80,000 potential deduction survives, limited only by the ordinary wage-based cap — as long as the brokerage pays enough W-2 wages (generally at least $160,000, for the 50%-of-wages test to support a full $80,000 deduction), the couple keeps the full $80,000 QBI deduction on that side of the household, while the dental practice's identical income produces nothing. Raising the dentist's own W-2 wages cannot fix this — above the ceiling, an SSTB's QBI deduction is zero regardless of wages paid — the only lever left is managing total household taxable income back down below the ceiling in a future year, through retirement contributions or other deductions, to restore even a partial deduction on the dental practice's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owner started the year with $80,000 of stock basis. The business had a strong year — $500,000 of taxable income allocated to him, which increases his basis to $580,000 — and, feeling flush, he drew $650,000 in distributions over the year to fund a home renovation and other personal spending. A basis review in November shows the problem: $650,000 of distributions against only $580,000 of available basis means $70,000 of the distributions exceed basis and are taxable as capital gain, even though the corporation itself remains highly profitable and cash-rich, and even though "the business had a great year" was exactly why he felt comfortable drawing that much. Had he checked his running basis schedule in September rather than waiting for year-end, he could have simply paused the last distribution or two and stayed under $580,000, avoiding the $70,000 of unplanned capital gain entirely — the fix costs nothing except checking a number that many S-corp owners never track until the return is already being prepared.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buys a distressed house for $250,000, spends $80,000 renovating it over four months, and resells it for $480,000 — a $150,000 profit. Because the property was bought, renovated, and resold quickly with the clear intent to flip (a pattern repeated across several properties that year), it is dealer property: the $150,000 is ordinary income, not capital gain, and — because the activity is an active trade or business — also subject to self-employment tax at 15.3%, an additional $22,950 beyond the ordinary income tax already due. Had the same investor instead routed this flip through an S-corporation paying herself a reasonable $60,000 salary for the work involved, self-employment-equivalent tax (FICA) would apply only to that $60,000 (roughly $9,180), with the remaining $90,000 of profit passed through as a distribution free of employment tax — a difference of nearly $14,000 in tax on the identical $150,000 profit, purely from choosing the right entity before the flip began rather than after it closed.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$1,200,000 building his company operates out of and charges the company $8,000 per month ($96,000 per year) under a written lease benchmarked to comparable local commercial space. In a strong year, after mortgage interest and depreciation, the rental arrangement nets $40,000 of rental income. Because he materially participates in the operating business paying that rent, the $40,000 is recharacterized as non-passive income — it cannot be used to absorb $40,000 of unrelated passive losses he is carrying from a separate limited-partner investment, which instead remain suspended. The following year, a $60,000 roof replacement pushes the same rental arrangement into a $25,000 loss. That loss, unlike the prior year's income, remains fully passive under the one-directional self-rental rule — it cannot offset his six-figure W-2 wages from the operating business, even though the income side of the identical arrangement was non-passive just one year earlier.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that pays $900,000 in W-2 wages and generates $500,000 of qualified business income, and 75% (through that same operating company) of a related sales partnership with no employees of its own that generates $300,000 of qualified business income. Standalone, the sales partnership's QBI deduction is capped at zero, since the wage limitation (generally the greater of 50% of W-2 wages, or 25% of wages plus a small percentage of qualified property) requires wages the partnership simply does not have — a $60,000 deduction (20% of $300,000) reduced to nothing. Because ownership is common, neither business is an SSTB, and the two share customers and coordinated operations, the owner makes a valid § 1.199A-4 aggregation election. Combined QBI is $800,000 ($500,000 + $300,000), and the combined wage base is $900,000 (all from the operating company) — comfortably supporting the full 20% deduction on the combined income, or $160,000, versus just $100,000 (20% of the operating company's $500,000 alone) without aggregation. The election preserves $60,000 of deduction that would otherwise have been permanently lost on the sales partnership's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draws a $90,000 W-2 salary, and the corporation pays her family's $22,000 annual health insurance premium directly. Payroll adds the full $22,000 to her W-2 Box 1 wages (bringing reported wages to $112,000) with no FICA withheld on that $22,000 portion. On her personal return, she separately claims a $22,000 above-the-line deduction under § 162(l), since it does not exceed her $112,000 of wages from the company. Net effect: the $22,000 is fully deductible to the corporation and creates zero net taxable income to her personally — the wage inclusion and the personal deduction cancel out exactly. Contrast this with a second owner whose S-corp salary is only $15,000 (an unreasonably low wage in its own right) and whose premium is also $22,000: her § 162(l) deduction is capped at her $15,000 of wages, leaving $7,000 of the premium added to her W-2 with no offsetting deduction available — $7,000 of pure taxable income created purely because her wage base was too thin to support the benefit she was trying to receive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$2,000,000 on margin against a brokerage account to fund an outside investment, paying $110,000 of margin interest during a year when the pledged portfolio itself generates only $18,000 of taxable dividend income. Under § 163(d), only $18,000 of the interest is currently deductible; the remaining $92,000 carries forward on Form 4952, unused. Three years later, the investor rebalances the same portfolio, realizing a $150,000 long-term capital gain. By electing to treat that gain as investment income (giving up the preferential capital-gains rate on it), the investor unlocks the $92,000 carryforward against it — reducing the taxable amount to $58,000. At a roughly 15-percentage-point gap between the capital-gains rate given up and the ordinary rate the interest deduction offsets, the math still favors making the election here: giving up preferential treatment on $92,000 costs about $13,800 in forgone rate benefit, while the $92,000 deduction itself is worth roughly $34,000 at a 37% marginal rate — a net gain of about $20,000 from a carryforward that would otherwise have simply kept rolling forward, unused, for another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investor's self-directed Roth IRA acquires a 20% interest in a startup venture for $5,000 at formation, when the entity has essentially no value — the investor does not control the venture (his stake plus any attributed family ownership stays under the 50% disqualified-person threshold), and a contemporaneous valuation confirms the $5,000 price reflects genuine fair market value at that early stage. Eight years later, the venture is acquired and the IRA's 20% stake is worth $4,000,000. Because the shares have always been held inside the Roth IRA, the entire $3,995,000 of appreciation is withdrawn completely tax-free in retirement — compare this to the same $3,995,000 of gain earned personally outside any retirement account, which at long-term capital-gains rates would generate roughly $950,000 of federal tax. Had the investor instead controlled the venture at 55% ownership and had his own IRA invest directly, the same transaction would have been a prohibited transaction, disqualifying the entire IRA and triggering immediate taxation of its full value as if completely distributed — the difference between a life-changing tax-free outcome and a catastrophic one turns entirely on the control percentage and the valuation at the moment of purchase.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37% marginal bracket has $400,000 of RSUs vest during the year. Her employer withholds at the flat 22% federal supplemental rate on the first portion and 37% only above the $1,000,000 annual supplemental-wage threshold (which she does not reach) — meaning most of that $400,000 is withheld at 22% when her actual marginal rate is 37%, a 15-percentage-point gap, or $60,000 under-withheld across the year's vesting events. Rather than making quarterly estimated payments, she calculates this $60,000 shortfall in November and submits a revised Form W-4 requesting an additional flat $60,000 be withheld from her final two paychecks of the year. Because the IRS treats all withholding as paid evenly across the year regardless of when it actually occurs, this single late-year correction cures the underpayment penalty on the earlier vesting events too — something a $60,000 estimated payment made in December could not do, since estimated payments are only credited to the quarter actually paid, not smoothed backward across the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$600,000 of specialized equipment as part of winding down an operating company, agreeing to a $60,000 down payment with the remaining $540,000 paid over five years. The equipment was fully written off years earlier through bonus depreciation, leaving a tax basis near zero — meaning almost the entire $600,000 is § 1245 depreciation recapture, taxed as ordinary income. Under § 453(i), that recapture — roughly $600,000 taxed at a combined ~35% rate, or about $210,000 — is due in full on the return for the year of sale, regardless of the payment structure. The seller has received only $60,000 in cash that year, well short of the $210,000 tax bill, and must fund the $150,000 gap from other resources. Had the seller modeled remaining tax basis and the recapture exposure before signing (rather than assuming the installment structure would spread the entire tax bill alongside the payments), the down payment could have been negotiated upward specifically to cover the year-one recapture tax, avoiding the cash-flow crunch entirely.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$55,000-a-year college tuition, well above the $19,000 annual gift-tax exclusion. Paying the university's bursar's office directly each semester ($27,500 per payment, $55,000 for the year) falls entirely under the unlimited educational-expense exclusion — no gift tax return required, and none of the grandparent's $19,000 annual exclusion or multi-million-dollar lifetime exemption is used, no matter how many years or how many grandchildren this is repeated for. The grandparent can then separately give the same grandchild up to $19,000 in cash that same year (for rent, books, or anything else) without either transfer affecting the other. Contrast this with a grandparent who instead deposits $55,000 into the grandchild's bank account, with an understanding it will be used for tuition: because the money passed through the grandchild's hands first, the entire $55,000 is a completed ordinary gift — $19,000 covered by the annual exclusion and the remaining $36,000 either using up part of the grandparent's lifetime exemption or, if unavailable, generating gift tax — solely because of which account the check was written to, not because of what the money was ultimately spent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manufacturing equipment, with a remaining tax basis of $80,000, is destroyed in a fire. The insurance payout is $350,000, producing a $270,000 realized gain if recognized immediately. Within the two-year reinvestment window, the business purchases similar replacement equipment for $400,000 and elects § 1033 deferral on that year's return. Because the replacement cost ($400,000) exceeds the amount realized ($350,000), none of the $270,000 gain is currently taxable — it is instead deferred by reducing the replacement equipment's basis by the full $270,000, from $400,000 down to $130,000. The business saves roughly $57,000 in immediate tax at a 21% corporate rate, at the cost of smaller future depreciation deductions on the replacement equipment (computed on the reduced $130,000 basis rather than the full $400,000) and a larger eventual gain if the replacement equipment is later sold — a genuine deferral, not an elimination, of the original $270,000.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one-time $1,000,000 tax liability from a business sale commits $400,000 to a syndicated low-income-housing fund, receiving an allocated credit stream of roughly $40,000 per year for ten years — a total of $400,000 in credits, offsetting the investment dollar-for-dollar against future tax bills over a decade, on top of a modest projected $30,000 of cash distributions and disposition proceeds over the same period (income is intentionally minimal, since rents are restricted by design). The investment's return is therefore driven almost entirely by the credit schedule, not by rental cash flow — very different underwriting from a conventional rental property. Three years into the fifteen-year compliance period, one of the underlying properties falls out of compliance with its low-income occupancy requirements; because the investor vetted the sponsor's multi-decade track record of maintaining compliance across dozens of prior properties before committing capital, the sponsor cures the deficiency before any credit is actually recaptured — a risk that was entirely outside the investor's control and could only be managed through diligence performed up front, not through anything the investor could do once invested.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ages 55 and 58, each earning $250,000 in W-2 wages, run a service business with eight staff averaging age 32 and $55,000 in pay. The business adopts a safe harbor 401(k) with a 3% non-elective contribution for all ten employees (3% × roughly $2,000,000 total payroll for the eight staff and two owners combined, or about $60,000 in safe-harbor cost). A cross-tested profit-sharing formula layered on top, based on projected benefits at retirement, allocates about $73,000 to each of the two older, higher-paid owners ($146,000 combined) while allocating only about 5-7% of pay to the younger staff (roughly $20,000 total across all eight) — a combined design that, after plan-administrator modeling against the actual census, directs roughly $146,000 of the total $226,000 employer contribution to the two owners for a $60,000 cost of covering everyone else, versus what a flat pro-rata formula covering all ten employees at the same percentage of pay would have cost the owners in reduced allocation to themselves. As part of the same modeling, the plan administrator flags that each owner's $250,000 salary is comfortably high enough to support the maximum $73,000 profit-sharing allocation, since contribution limits are capped as a percentage of the recipient's own compensation — a lower owner salary would have itself become the binding constraint.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with 12 employees (10 of them non-highly-compensated) adopts a new 401(k) plan for the first time, paying its third-party administrator $6,500 in setup and first-year administration fees. The small-employer startup-cost credit covers a defined percentage of those costs (up to a cap that scales with the number of non-highly-compensated employees, commonly enough to cover 100% of costs for the smallest eligible employers) — in this case reimbursing the full $6,500 through the credit rather than the more limited amount a business might assume without checking the actual cap. Because the plan is also designed from day one with automatic enrollment (employees are enrolled by default unless they opt out), the business separately claims a flat $500-per-year auto-enrollment credit for each of the first three years, worth $1,500 total, regardless of how many employees the feature actually captures. In year two, the business also begins claiming a separate credit against a portion of its own matching contributions made on behalf of employees earning below the applicable compensation threshold — three distinct, stackable credits that together offset a meaningful share of what the owner had budgeted as a pure cost of starting the plan.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requires a full addback of federal bonus depreciation places $1,000,000 of qualifying equipment in service and claims 100% federal bonus depreciation — a full $1,000,000 federal deduction in year one, worth roughly $210,000 in federal tax savings at a 21% rate. But the state requires the entire $1,000,000 to be added back to state taxable income in year one, then recovered over the equipment's normal 7-year state depreciation schedule instead — about $143,000 per year going forward. At a 6% state rate, the business had modeled a combined first-year savings of roughly $270,000 (federal plus state), when the actual first-year benefit is only the $210,000 federal piece; the $60,000 of assumed state savings does not arrive until it is recovered gradually over the following seven years. Quoting the state and federal benefits separately from the outset — rather than as one blended number — would have let the business correctly size its state estimated payments for the placed-in-service year instead of being caught short by an unexpected state balance due.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C-corporation converts to S-corporation status on January 1. As of that date, it owns a building with a tax basis of $600,000 and a fair market value of $1,400,000 — an $800,000 built-in gain — confirmed by a contemporaneous appraisal obtained specifically for the conversion. Three years into the five-year recognition period, the corporation sells the building for $1,500,000. Of the $900,000 total gain on the sale ($1,500,000 minus $600,000 basis), $800,000 is built-in gain that existed on the conversion date and is taxed at the corporate level at the flat corporate rate (21% under current law) — a corporate-level tax of $168,000 — before the remaining income flows through to the shareholders and is taxed again on their personal returns as pass-through income. Only the $100,000 of gain that accrued after conversion ($1,500,000 minus the $1,400,000 conversion-date value) escapes the built-in-gains tax entirely. Had the corporation waited two more years — past the five-year recognition period — to sell the same building at the same price, the entire $900,000 gain would have passed through to the shareholders with no corporate-level tax at all, a $168,000 difference driven purely by timing the sale relative to the recognition-period clock.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holds stock with a basis of $200,000, and the corporation agrees to redeem all of it for $2,000,000 as part of a retirement buyout. If the redemption is taxed as a dividend (because the parent's child continues to own stock in the same corporation, and that ownership is attributed back to the parent under the family-attribution rules), the entire $2,000,000 is ordinary dividend income, with no offset for the parent's $200,000 basis — taxed at ordinary rates on the full amount. If instead the parent retains no prohibited continuing interest in the business (no board seat, no employment) and properly files the election waiving family attribution with their return for the year of the redemption, the redemption qualifies as a complete termination: the parent recognizes long-term capital gain of only $1,800,000 ($2,000,000 minus $200,000 basis), taxed at capital-gain rates rather than ordinary rates, and on a smaller taxable amount to begin with. At a rough combined ordinary-versus-capital-gain rate differential of 15 percentage points, that is on the order of $270,000–$300,000 of additional tax avoided purely by filing one election correctly and confirming no informal continuing relationship exists.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newborn's future without restricting the funds specifically to education costs the way a 529 plan effectively does. The parent opens a new tax-favored account for the child, contributing the applicable annual limit each year starting at birth, with the funds growing tax-deferred rather than taxed annually as they would be in an ordinary custodial brokerage account. If the child's employer-sponsored eligibility applies once the parent is employed at a company that offers it, an employer contribution on the child's behalf can stack on top of the parent's own contributions within the combined annual limit — money the family would not otherwise have received at all. The parent continues separately funding a 529 plan for anticipated college costs, using the two vehicles side by side: the 529 plan earmarked specifically for education, and the new account left flexible for whatever the child's needs turn out to be at the age the account becomes accessible — a down payment, a business, or expenses a 529 plan's education-only rules would not have covered without additional tax and penalty.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sole owner of a profitable, non-SSTB S-corporation already pays himself a $300,000 salary — comfortably above the roughly $200,000 wage level needed to clear the QBI wage-limitation test on the business's $900,000 of qualified business income, so his full 20% QBI deduction ($180,000) is already secure regardless of wages. His retirement-plan administrator proposes raising his salary to $450,000 (a $150,000 increase) to unlock a larger profit-sharing contribution. Modeled in isolation, the extra retirement contribution looks attractive; modeled together, the picture changes: the $150,000 wage increase costs roughly $4,350 in additional employer-side Medicare tax, and — because QBI is computed net of officer compensation — directly shrinks qualified business income from $900,000 to $750,000, cutting the QBI deduction from $180,000 to $150,000, a $30,000 loss worth about $11,100 in tax at a 37% bracket. Combined QBI-and-payroll cost: roughly $15,450 — against which the larger retirement contribution the higher salary unlocks needs to be worth meaningfully more than $15,450 to justify the wage increase at all. Running the numbers together, the owner and his advisor settle on a smaller $75,000 raise instead of the full $150,000 the plan administrator's design had proposed, capturing most of the retirement benefit at roughly half the QBI-and-payroll cost.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family's adult child has a qualifying disability that began well before age 26 and currently relies on Supplemental Security Income and Medicaid, both of which cut off benefits once the child's own assets exceed roughly $2,000 — a threshold so low that even a modest birthday-money savings account in the child's name could disqualify him. The family instead opens an ABLE account and contributes $19,000 in the first year (the annual contribution limit, tied to the gift-tax exclusion amount), which grows tax-free and does not count against the $2,000 SSI asset limit up to the ABLE account's own much higher balance cap (commonly in the $100,000-plus range depending on the state program, above which SSI, though not Medicaid, can be suspended until the balance drops back down). Over the next fifteen years, the family contributes $19,000 annually, and the account grows to roughly $410,000 assuming modest investment returns — money the child draws on for adaptive equipment, therapy copays, and housing modifications, all as qualifying disability expenses, without ever jeopardizing the SSI and Medicaid coverage the family could not otherwise replace privately. Had the family instead simply saved the same amount in a custodial account in the child's name, the very first $2,000 of savings would have put his benefits at risk.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earns $20,000 per quarter in steady wage and investment income for the first two quarters of the year, then closes a business sale in the third quarter generating a $2,000,000 capital gain. Full-year tax liability comes to roughly $520,000. Under the standard even-quarters method, each of the four quarterly payments would need to be $130,000 (one-quarter of $520,000) — including the first two quarters, when the taxpayer's actual cumulative income was only $40,000 and no gain had yet been realized, making a $130,000 payment in April wildly disproportionate to income actually earned by then. Using the annualized income installment method instead, the Q1 and Q2 required payments are calculated only against the annualized $20,000-per-quarter income actually earned through each date — a small fraction of the even-quarters number — with the bulk of the $520,000 liability correctly required only starting in Q3, once the $2,000,000 gain is actually recognized. This avoids an underpayment penalty on the first two quarters that the even-quarters method would otherwise have imposed, even though the taxpayer's full $520,000 liability is still fully paid by the original filing deadline either way — the annualized method changes only the quarterly penalty exposure, not the total tax 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$1,800,000 from online education and product sales (non-SSTB) and $220,000 from a licensed clinical service (an SSTB) — the clinical revenue is about 10.9% of the entity's $2,020,000 total gross receipts, just over the roughly 10% de minimis threshold for a business this size. Crossing that threshold taints the entire entity as an SSTB, dropping its QBI deduction to zero on all $2,020,000 of income once the owner's taxable income clears the phase-out ceiling — not just on the $220,000 clinical share, but on the much larger $1,800,000 education and product-sales share that would otherwise clearly qualify. At a 20% QBI rate, that is a $360,000 deduction wiped out by a revenue mix that tips just barely over 10%. Splitting the education and product-sales activity into a newly formed, separately operated entity — its own contracts, its own customer relationships, no more than an incidental share of revenue flowing back to the original clinical entity — removes that $1,800,000 of income from the SSTB-tainted entity entirely. The new entity's QBI deduction is then computed on its own facts, restoring the full $360,000 deduction on the non-SSTB revenue going forward, while the original entity's $220,000 clinical income remains correctly at zero QBI above the income ceiling.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$1,500,000 inheritance to an adult child with a lifelong disability who relies on means-tested government benefits covering her basic housing and medical care — benefits that would terminate immediately if she received that $1,500,000 directly, since it is many times over the roughly $2,000 asset limit those programs impose. Instead, the family's estate plan directs the full $1,500,000 into a special needs trust rather than to the daughter personally, naming a sibling as co-trustee alongside a professional trust company. Because the daughter has no direct control over the trust and no right to demand distributions — only the trustees' discretion to spend on her behalf — the $1,500,000 is never treated as her own asset for benefit-eligibility purposes, no matter how large the trust grows. Over the following decades, the trustees draw on the trust for supplemental needs the government benefits do not cover — specialized therapy, an accessible vehicle, travel, and enrichment activities — spending perhaps $40,000-$60,000 a year, while her basic care and housing support continue uninterrupted through the government programs the trust was specifically drafted never to disqualify her from. A comparable but far smaller ABLE account, capped at roughly $19,000 in new contributions per year, could not have absorbed a bequest of this size at all — the two vehicles serve genuinely different scales of the same underlying problem.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in March, after the prior tax year has already closed, that no W-2 wages were ever run for him during that year — despite $600,000 of profit having been distributed to him as if it were entirely tax-favored distribution income. His accountant explores simply running a retroactive $150,000 wage for the prior year, which would generate a $150,000 deduction to the corporation and support a $37,500 SEP-style retirement contribution for that year. Both ideas fail on the same fact: because he owns more than 50% of the corporation, § 267(a)(2) does not allow the wage deduction until the year cash actually reaches him — and no cash was actually paid to him as wages during the prior year, only as distributions. Issuing a W-2 dated for the closed year, with no corresponding cash payment having occurred in that year, would not create a valid deduction; it would create a W-2 that misstates when compensation was paid. The $150,000 deduction and the $37,500 retirement contribution are both unavailable for the closed year — full stop, no paperwork fix exists — and the business instead corrects its payroll going forward, running an actual, contemporaneous wage for the current year so the same mistake does not repeat.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wholly owns Company A (3 employees) and wants to adopt an owner-only 401(k) and cash-balance plan there, projecting a $250,000 combined annual contribution and deduction. He also owns 60% of Company B, a business with 40 employees, through which his wife separately owns another 15% (attributed to him as a spouse, bringing his effective ownership to 75%). Because the same five-or-fewer-owners test and the more-than-80%/50%-identical-ownership thresholds are met once his wife's attributed interest is included, Companies A and B are a controlled group and must be treated as one employer for retirement-plan purposes — meaning the plan at Company A must actually satisfy coverage testing counting all 43 combined employees, not just the 3 at Company A. Before finalizing plan documents, the actuary maps every entity (including the wife's attributed interest, which the owner had not initially mentioned because the shares were technically hers) and reruns the analysis. The corrected design either brings Company B's employees into the plan's coverage (materially raising cost, since nondiscrimination testing now spans 43 people, not 3) or restructures the ownership relationship before adoption — either way, catching this before the plan document is signed avoids a coverage failure that would be far more expensive to unwind after the fact, potentially including plan disqualification and retroactive taxation of all prior contributions.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partner's outside basis is currently zero. Three years ago, the partnership allocated him a $60,000 loss when his basis was only $15,000 — $15,000 was deductible that year, and the remaining $45,000 was suspended under § 704(d), carried forward on his records but never yet deducted. The partnership is now winding down and preparing to liquidate, which would otherwise permanently forfeit that $45,000 suspended loss, since a suspended §704(d) loss does not survive a disposition once basis remains at zero. Before the liquidation, he contributes an additional $45,000 of capital to the partnership. That contribution restores his outside basis to $45,000, which immediately frees the full $45,000 suspended loss for deduction on this year's return — at a combined federal-and-state marginal rate of 35%, that is roughly $15,750 of tax savings captured by a $45,000 contribution that would otherwise have simply funded the wind-down with no basis benefit at all. The same $45,000 basis increase also reduces, dollar for dollar, any capital gain the liquidating distribution itself would otherwise trigger — a single contribution doing double duty at exactly the moment it matters most.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advances $300,000 to its sole owner as a running, interest-free loan balance with no promissory note. At a representative mid-term AFR of 4.5%, the foregone interest is $13,500 per year. Left undocumented, § 7872 treats the business as having received $13,500 of taxable interest income each year the loan remains outstanding, offset by a deemed $13,500 corporate distribution to the owner in the same amount — three years of neglect compounds to $40,500 of unreported phantom income and matching distributions across the loan's life, discovered all at once on examination along with penalties and interest on the shortfall. The fix costs nothing but paperwork: documenting the $300,000 balance today with a written note at 4.5% (the current AFR for the term), with a defined repayment schedule, converts the arrangement into a normal loan going forward — the business simply reports the actual $13,500 of interest received each year as ordinary income (which it would owe tax on in any case), with no phantom compensation, distribution, or gift layered on top.</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her company for $2,000,000. The buyer's initial draft allocates $1,400,000 to depreciable equipment and inventory (ordinary income to the seller, since equipment basis is largely depreciated out) and only $600,000 to goodwill (capital gain). Under that allocation, the seller owes ordinary-rate tax on $1,400,000 (roughly $518,000 at a 37% rate) plus capital-gains tax on $600,000 (roughly $143,000 at 23.8%) — a combined $661,000. The seller is also carrying a $400,000 capital-loss carryforward from an unrelated investment account, but that loss can only offset capital gain, and the $600,000 of goodwill gain in the initial allocation leaves $400,000 of it usable, sheltering $95,000 of the capital-gains tax. During negotiation, the seller pushes the allocation to $700,000 equipment/inventory and $1,300,000 goodwill instead: ordinary tax drops to roughly $259,000 (on $700,000), capital-gains tax on $1,300,000 is roughly $310,000 before the loss offset, and the full $400,000 capital-loss carryforward is now available against the larger capital gain, sheltering $95,000 regardless — but because more of the total price now sits in the lower-taxed capital-gain bucket rather than the higher-taxed ordinary bucket, total tax after the loss offset drops to roughly $474,000, a savings of about $92,000 in tax on the identical $2,000,000 sale price, achieved purely by renegotiating the allocation table before signing rather than after.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2026-09-07T09:19:41.292Z</dcterms:created>
  <dcterms:modified xsi:type="dcterms:W3CDTF">2026-09-07T09:19:41.292Z</dcterms:modified>
</cp:coreProperties>
</file>

<file path=docProps/custom.xml><?xml version="1.0" encoding="utf-8"?>
<Properties xmlns="http://schemas.openxmlformats.org/officeDocument/2006/custom-properties" xmlns:vt="http://schemas.openxmlformats.org/officeDocument/2006/docPropsVTypes"/>
</file>