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Calibri" w:cs="Calibri" w:eastAsia="Calibri" w:hAnsi="Calibri"/>
          <w:b/>
          <w:bCs/>
          <w:color w:val="1F3864"/>
          <w:sz w:val="56"/>
          <w:szCs w:val="56"/>
        </w:rPr>
        <w:t xml:space="preserve">Tax Strategies</w:t>
      </w:r>
    </w:p>
    <w:p>
      <w:pPr>
        <w:spacing w:after="200"/>
        <w:jc w:val="center"/>
      </w:pPr>
      <w:r>
        <w:rPr>
          <w:rFonts w:ascii="Calibri" w:cs="Calibri" w:eastAsia="Calibri" w:hAnsi="Calibri"/>
          <w:b/>
          <w:bCs/>
          <w:color w:val="2E5496"/>
          <w:sz w:val="32"/>
          <w:szCs w:val="32"/>
        </w:rPr>
        <w:t xml:space="preserve">A Reference Guide to Tax-Planning Techniques</w:t>
      </w:r>
    </w:p>
    <w:p>
      <w:pPr>
        <w:spacing w:after="200"/>
        <w:jc w:val="center"/>
      </w:pPr>
      <w:r>
        <w:rPr>
          <w:rFonts w:ascii="Calibri" w:cs="Calibri" w:eastAsia="Calibri" w:hAnsi="Calibri"/>
          <w:b/>
          <w:bCs/>
          <w:color w:val="595959"/>
          <w:sz w:val="24"/>
          <w:szCs w:val="24"/>
        </w:rPr>
        <w:t xml:space="preserve">101 Strategies • Updated as New Strategies Are Added</w:t>
      </w:r>
    </w:p>
    <w:p>
      <w:r>
        <w:br w:type="page"/>
      </w:r>
    </w:p>
    <w:p>
      <w:pPr>
        <w:spacing w:after="200"/>
      </w:pPr>
      <w:r>
        <w:rPr>
          <w:rFonts w:ascii="Calibri" w:cs="Calibri" w:eastAsia="Calibri" w:hAnsi="Calibri"/>
          <w:b/>
          <w:bCs/>
          <w:color w:val="1F3864"/>
          <w:sz w:val="28"/>
          <w:szCs w:val="28"/>
        </w:rPr>
        <w:t xml:space="preserve">Table of Contents</w:t>
      </w:r>
    </w:p>
    <w:p>
      <w:pPr>
        <w:spacing w:after="100"/>
      </w:pPr>
      <w:r>
        <w:rPr>
          <w:rFonts w:ascii="Calibri" w:cs="Calibri" w:eastAsia="Calibri" w:hAnsi="Calibri"/>
          <w:sz w:val="21"/>
          <w:szCs w:val="21"/>
        </w:rPr>
        <w:t xml:space="preserve">1. Reasonable Compensation for S-Corporation Owners</w:t>
      </w:r>
      <w:r>
        <w:rPr>
          <w:rFonts w:ascii="Calibri" w:cs="Calibri" w:eastAsia="Calibri" w:hAnsi="Calibri"/>
          <w:sz w:val="21"/>
          <w:szCs w:val="21"/>
        </w:rPr>
        <w:ptab w:alignment="right" w:relativeTo="margin" w:leader="dot"/>
        <w:t xml:space="preserve">3</w:t>
      </w:r>
    </w:p>
    <w:p>
      <w:pPr>
        <w:spacing w:after="100"/>
      </w:pPr>
      <w:r>
        <w:rPr>
          <w:rFonts w:ascii="Calibri" w:cs="Calibri" w:eastAsia="Calibri" w:hAnsi="Calibri"/>
          <w:sz w:val="21"/>
          <w:szCs w:val="21"/>
        </w:rPr>
        <w:t xml:space="preserve">2. Cash-Balance Defined-Benefit Retirement Plans for Owner-Heavy Businesses</w:t>
      </w:r>
      <w:r>
        <w:rPr>
          <w:rFonts w:ascii="Calibri" w:cs="Calibri" w:eastAsia="Calibri" w:hAnsi="Calibri"/>
          <w:sz w:val="21"/>
          <w:szCs w:val="21"/>
        </w:rPr>
        <w:ptab w:alignment="right" w:relativeTo="margin" w:leader="dot"/>
        <w:t xml:space="preserve">5</w:t>
      </w:r>
    </w:p>
    <w:p>
      <w:pPr>
        <w:spacing w:after="100"/>
      </w:pPr>
      <w:r>
        <w:rPr>
          <w:rFonts w:ascii="Calibri" w:cs="Calibri" w:eastAsia="Calibri" w:hAnsi="Calibri"/>
          <w:sz w:val="21"/>
          <w:szCs w:val="21"/>
        </w:rPr>
        <w:t xml:space="preserve">3. Real Estate Buy-vs-Rent Strategy Using an Affiliated LLC, § 469 Grouping, and Cost Segregation</w:t>
      </w:r>
      <w:r>
        <w:rPr>
          <w:rFonts w:ascii="Calibri" w:cs="Calibri" w:eastAsia="Calibri" w:hAnsi="Calibri"/>
          <w:sz w:val="21"/>
          <w:szCs w:val="21"/>
        </w:rPr>
        <w:ptab w:alignment="right" w:relativeTo="margin" w:leader="dot"/>
        <w:t xml:space="preserve">7</w:t>
      </w:r>
    </w:p>
    <w:p>
      <w:pPr>
        <w:spacing w:after="100"/>
      </w:pPr>
      <w:r>
        <w:rPr>
          <w:rFonts w:ascii="Calibri" w:cs="Calibri" w:eastAsia="Calibri" w:hAnsi="Calibri"/>
          <w:sz w:val="21"/>
          <w:szCs w:val="21"/>
        </w:rPr>
        <w:t xml:space="preserve">4. Correcting Misclassified Fixed Assets with a Change in Accounting Method (Form 3115)</w:t>
      </w:r>
      <w:r>
        <w:rPr>
          <w:rFonts w:ascii="Calibri" w:cs="Calibri" w:eastAsia="Calibri" w:hAnsi="Calibri"/>
          <w:sz w:val="21"/>
          <w:szCs w:val="21"/>
        </w:rPr>
        <w:ptab w:alignment="right" w:relativeTo="margin" w:leader="dot"/>
        <w:t xml:space="preserve">9</w:t>
      </w:r>
    </w:p>
    <w:p>
      <w:pPr>
        <w:spacing w:after="100"/>
      </w:pPr>
      <w:r>
        <w:rPr>
          <w:rFonts w:ascii="Calibri" w:cs="Calibri" w:eastAsia="Calibri" w:hAnsi="Calibri"/>
          <w:sz w:val="21"/>
          <w:szCs w:val="21"/>
        </w:rPr>
        <w:t xml:space="preserve">5. Home Office Reimbursement Through an Accountable Plan</w:t>
      </w:r>
      <w:r>
        <w:rPr>
          <w:rFonts w:ascii="Calibri" w:cs="Calibri" w:eastAsia="Calibri" w:hAnsi="Calibri"/>
          <w:sz w:val="21"/>
          <w:szCs w:val="21"/>
        </w:rPr>
        <w:ptab w:alignment="right" w:relativeTo="margin" w:leader="dot"/>
        <w:t xml:space="preserve">11</w:t>
      </w:r>
    </w:p>
    <w:p>
      <w:pPr>
        <w:spacing w:after="100"/>
      </w:pPr>
      <w:r>
        <w:rPr>
          <w:rFonts w:ascii="Calibri" w:cs="Calibri" w:eastAsia="Calibri" w:hAnsi="Calibri"/>
          <w:sz w:val="21"/>
          <w:szCs w:val="21"/>
        </w:rPr>
        <w:t xml:space="preserve">6. The Augusta Rule: Tax-Free Short-Term Rental of a Personal Residence to One’s Own Business</w:t>
      </w:r>
      <w:r>
        <w:rPr>
          <w:rFonts w:ascii="Calibri" w:cs="Calibri" w:eastAsia="Calibri" w:hAnsi="Calibri"/>
          <w:sz w:val="21"/>
          <w:szCs w:val="21"/>
        </w:rPr>
        <w:ptab w:alignment="right" w:relativeTo="margin" w:leader="dot"/>
        <w:t xml:space="preserve">13</w:t>
      </w:r>
    </w:p>
    <w:p>
      <w:pPr>
        <w:spacing w:after="100"/>
      </w:pPr>
      <w:r>
        <w:rPr>
          <w:rFonts w:ascii="Calibri" w:cs="Calibri" w:eastAsia="Calibri" w:hAnsi="Calibri"/>
          <w:sz w:val="21"/>
          <w:szCs w:val="21"/>
        </w:rPr>
        <w:t xml:space="preserve">7. The Pass-Through Entity Tax (PTET) Election to Work Around the SALT Deduction Cap</w:t>
      </w:r>
      <w:r>
        <w:rPr>
          <w:rFonts w:ascii="Calibri" w:cs="Calibri" w:eastAsia="Calibri" w:hAnsi="Calibri"/>
          <w:sz w:val="21"/>
          <w:szCs w:val="21"/>
        </w:rPr>
        <w:ptab w:alignment="right" w:relativeTo="margin" w:leader="dot"/>
        <w:t xml:space="preserve">15</w:t>
      </w:r>
    </w:p>
    <w:p>
      <w:pPr>
        <w:spacing w:after="100"/>
      </w:pPr>
      <w:r>
        <w:rPr>
          <w:rFonts w:ascii="Calibri" w:cs="Calibri" w:eastAsia="Calibri" w:hAnsi="Calibri"/>
          <w:sz w:val="21"/>
          <w:szCs w:val="21"/>
        </w:rPr>
        <w:t xml:space="preserve">8. Using a Qualified Subchapter S Subsidiary (QSub) to Add a New, Related Business Line</w:t>
      </w:r>
      <w:r>
        <w:rPr>
          <w:rFonts w:ascii="Calibri" w:cs="Calibri" w:eastAsia="Calibri" w:hAnsi="Calibri"/>
          <w:sz w:val="21"/>
          <w:szCs w:val="21"/>
        </w:rPr>
        <w:ptab w:alignment="right" w:relativeTo="margin" w:leader="dot"/>
        <w:t xml:space="preserve">17</w:t>
      </w:r>
    </w:p>
    <w:p>
      <w:pPr>
        <w:spacing w:after="100"/>
      </w:pPr>
      <w:r>
        <w:rPr>
          <w:rFonts w:ascii="Calibri" w:cs="Calibri" w:eastAsia="Calibri" w:hAnsi="Calibri"/>
          <w:sz w:val="21"/>
          <w:szCs w:val="21"/>
        </w:rPr>
        <w:t xml:space="preserve">9. Banking Capital Loss Carryforwards as a Future Planning Asset</w:t>
      </w:r>
      <w:r>
        <w:rPr>
          <w:rFonts w:ascii="Calibri" w:cs="Calibri" w:eastAsia="Calibri" w:hAnsi="Calibri"/>
          <w:sz w:val="21"/>
          <w:szCs w:val="21"/>
        </w:rPr>
        <w:ptab w:alignment="right" w:relativeTo="margin" w:leader="dot"/>
        <w:t xml:space="preserve">19</w:t>
      </w:r>
    </w:p>
    <w:p>
      <w:pPr>
        <w:spacing w:after="100"/>
      </w:pPr>
      <w:r>
        <w:rPr>
          <w:rFonts w:ascii="Calibri" w:cs="Calibri" w:eastAsia="Calibri" w:hAnsi="Calibri"/>
          <w:sz w:val="21"/>
          <w:szCs w:val="21"/>
        </w:rPr>
        <w:t xml:space="preserve">10. Verifying Tax Data Against IRS Transcripts Before Filing or Planning</w:t>
      </w:r>
      <w:r>
        <w:rPr>
          <w:rFonts w:ascii="Calibri" w:cs="Calibri" w:eastAsia="Calibri" w:hAnsi="Calibri"/>
          <w:sz w:val="21"/>
          <w:szCs w:val="21"/>
        </w:rPr>
        <w:ptab w:alignment="right" w:relativeTo="margin" w:leader="dot"/>
        <w:t xml:space="preserve">21</w:t>
      </w:r>
    </w:p>
    <w:p>
      <w:pPr>
        <w:spacing w:after="100"/>
      </w:pPr>
      <w:r>
        <w:rPr>
          <w:rFonts w:ascii="Calibri" w:cs="Calibri" w:eastAsia="Calibri" w:hAnsi="Calibri"/>
          <w:sz w:val="21"/>
          <w:szCs w:val="21"/>
        </w:rPr>
        <w:t xml:space="preserve">11. Self-Employment Tax Exposure for Active LLC and Partnership Members</w:t>
      </w:r>
      <w:r>
        <w:rPr>
          <w:rFonts w:ascii="Calibri" w:cs="Calibri" w:eastAsia="Calibri" w:hAnsi="Calibri"/>
          <w:sz w:val="21"/>
          <w:szCs w:val="21"/>
        </w:rPr>
        <w:ptab w:alignment="right" w:relativeTo="margin" w:leader="dot"/>
        <w:t xml:space="preserve">23</w:t>
      </w:r>
    </w:p>
    <w:p>
      <w:pPr>
        <w:spacing w:after="100"/>
      </w:pPr>
      <w:r>
        <w:rPr>
          <w:rFonts w:ascii="Calibri" w:cs="Calibri" w:eastAsia="Calibri" w:hAnsi="Calibri"/>
          <w:sz w:val="21"/>
          <w:szCs w:val="21"/>
        </w:rPr>
        <w:t xml:space="preserve">12. Holding Third-Party Funds as Agent Rather Than as Business Income</w:t>
      </w:r>
      <w:r>
        <w:rPr>
          <w:rFonts w:ascii="Calibri" w:cs="Calibri" w:eastAsia="Calibri" w:hAnsi="Calibri"/>
          <w:sz w:val="21"/>
          <w:szCs w:val="21"/>
        </w:rPr>
        <w:ptab w:alignment="right" w:relativeTo="margin" w:leader="dot"/>
        <w:t xml:space="preserve">25</w:t>
      </w:r>
    </w:p>
    <w:p>
      <w:pPr>
        <w:spacing w:after="100"/>
      </w:pPr>
      <w:r>
        <w:rPr>
          <w:rFonts w:ascii="Calibri" w:cs="Calibri" w:eastAsia="Calibri" w:hAnsi="Calibri"/>
          <w:sz w:val="21"/>
          <w:szCs w:val="21"/>
        </w:rPr>
        <w:t xml:space="preserve">13. Documenting Intercompany Charges Between Related Entities</w:t>
      </w:r>
      <w:r>
        <w:rPr>
          <w:rFonts w:ascii="Calibri" w:cs="Calibri" w:eastAsia="Calibri" w:hAnsi="Calibri"/>
          <w:sz w:val="21"/>
          <w:szCs w:val="21"/>
        </w:rPr>
        <w:ptab w:alignment="right" w:relativeTo="margin" w:leader="dot"/>
        <w:t xml:space="preserve">27</w:t>
      </w:r>
    </w:p>
    <w:p>
      <w:pPr>
        <w:spacing w:after="100"/>
      </w:pPr>
      <w:r>
        <w:rPr>
          <w:rFonts w:ascii="Calibri" w:cs="Calibri" w:eastAsia="Calibri" w:hAnsi="Calibri"/>
          <w:sz w:val="21"/>
          <w:szCs w:val="21"/>
        </w:rPr>
        <w:t xml:space="preserve">14. Eliminating Estimated-Tax Penalties Through Payroll Withholding Timing</w:t>
      </w:r>
      <w:r>
        <w:rPr>
          <w:rFonts w:ascii="Calibri" w:cs="Calibri" w:eastAsia="Calibri" w:hAnsi="Calibri"/>
          <w:sz w:val="21"/>
          <w:szCs w:val="21"/>
        </w:rPr>
        <w:ptab w:alignment="right" w:relativeTo="margin" w:leader="dot"/>
        <w:t xml:space="preserve">29</w:t>
      </w:r>
    </w:p>
    <w:p>
      <w:pPr>
        <w:spacing w:after="100"/>
      </w:pPr>
      <w:r>
        <w:rPr>
          <w:rFonts w:ascii="Calibri" w:cs="Calibri" w:eastAsia="Calibri" w:hAnsi="Calibri"/>
          <w:sz w:val="21"/>
          <w:szCs w:val="21"/>
        </w:rPr>
        <w:t xml:space="preserve">15. Substantiating Business Vehicle Deductions Under § 274(d)</w:t>
      </w:r>
      <w:r>
        <w:rPr>
          <w:rFonts w:ascii="Calibri" w:cs="Calibri" w:eastAsia="Calibri" w:hAnsi="Calibri"/>
          <w:sz w:val="21"/>
          <w:szCs w:val="21"/>
        </w:rPr>
        <w:ptab w:alignment="right" w:relativeTo="margin" w:leader="dot"/>
        <w:t xml:space="preserve">31</w:t>
      </w:r>
    </w:p>
    <w:p>
      <w:pPr>
        <w:spacing w:after="100"/>
      </w:pPr>
      <w:r>
        <w:rPr>
          <w:rFonts w:ascii="Calibri" w:cs="Calibri" w:eastAsia="Calibri" w:hAnsi="Calibri"/>
          <w:sz w:val="21"/>
          <w:szCs w:val="21"/>
        </w:rPr>
        <w:t xml:space="preserve">16. Partner Basis Limits on Distributions from an LLC or Partnership</w:t>
      </w:r>
      <w:r>
        <w:rPr>
          <w:rFonts w:ascii="Calibri" w:cs="Calibri" w:eastAsia="Calibri" w:hAnsi="Calibri"/>
          <w:sz w:val="21"/>
          <w:szCs w:val="21"/>
        </w:rPr>
        <w:ptab w:alignment="right" w:relativeTo="margin" w:leader="dot"/>
        <w:t xml:space="preserve">33</w:t>
      </w:r>
    </w:p>
    <w:p>
      <w:pPr>
        <w:spacing w:after="100"/>
      </w:pPr>
      <w:r>
        <w:rPr>
          <w:rFonts w:ascii="Calibri" w:cs="Calibri" w:eastAsia="Calibri" w:hAnsi="Calibri"/>
          <w:sz w:val="21"/>
          <w:szCs w:val="21"/>
        </w:rPr>
        <w:t xml:space="preserve">17. Timing the S-Corporation Election to Its Breakeven Point</w:t>
      </w:r>
      <w:r>
        <w:rPr>
          <w:rFonts w:ascii="Calibri" w:cs="Calibri" w:eastAsia="Calibri" w:hAnsi="Calibri"/>
          <w:sz w:val="21"/>
          <w:szCs w:val="21"/>
        </w:rPr>
        <w:ptab w:alignment="right" w:relativeTo="margin" w:leader="dot"/>
        <w:t xml:space="preserve">35</w:t>
      </w:r>
    </w:p>
    <w:p>
      <w:pPr>
        <w:spacing w:after="100"/>
      </w:pPr>
      <w:r>
        <w:rPr>
          <w:rFonts w:ascii="Calibri" w:cs="Calibri" w:eastAsia="Calibri" w:hAnsi="Calibri"/>
          <w:sz w:val="21"/>
          <w:szCs w:val="21"/>
        </w:rPr>
        <w:t xml:space="preserve">18. The § 83(b) Election on Restricted or Founder Equity</w:t>
      </w:r>
      <w:r>
        <w:rPr>
          <w:rFonts w:ascii="Calibri" w:cs="Calibri" w:eastAsia="Calibri" w:hAnsi="Calibri"/>
          <w:sz w:val="21"/>
          <w:szCs w:val="21"/>
        </w:rPr>
        <w:ptab w:alignment="right" w:relativeTo="margin" w:leader="dot"/>
        <w:t xml:space="preserve">37</w:t>
      </w:r>
    </w:p>
    <w:p>
      <w:pPr>
        <w:spacing w:after="100"/>
      </w:pPr>
      <w:r>
        <w:rPr>
          <w:rFonts w:ascii="Calibri" w:cs="Calibri" w:eastAsia="Calibri" w:hAnsi="Calibri"/>
          <w:sz w:val="21"/>
          <w:szCs w:val="21"/>
        </w:rPr>
        <w:t xml:space="preserve">19. The Qualified Small Business Stock (QSBS) Exclusion Under § 1202</w:t>
      </w:r>
      <w:r>
        <w:rPr>
          <w:rFonts w:ascii="Calibri" w:cs="Calibri" w:eastAsia="Calibri" w:hAnsi="Calibri"/>
          <w:sz w:val="21"/>
          <w:szCs w:val="21"/>
        </w:rPr>
        <w:ptab w:alignment="right" w:relativeTo="margin" w:leader="dot"/>
        <w:t xml:space="preserve">39</w:t>
      </w:r>
    </w:p>
    <w:p>
      <w:pPr>
        <w:spacing w:after="100"/>
      </w:pPr>
      <w:r>
        <w:rPr>
          <w:rFonts w:ascii="Calibri" w:cs="Calibri" w:eastAsia="Calibri" w:hAnsi="Calibri"/>
          <w:sz w:val="21"/>
          <w:szCs w:val="21"/>
        </w:rPr>
        <w:t xml:space="preserve">20. Donating Appreciated Securities Through a Donor-Advised Fund</w:t>
      </w:r>
      <w:r>
        <w:rPr>
          <w:rFonts w:ascii="Calibri" w:cs="Calibri" w:eastAsia="Calibri" w:hAnsi="Calibri"/>
          <w:sz w:val="21"/>
          <w:szCs w:val="21"/>
        </w:rPr>
        <w:ptab w:alignment="right" w:relativeTo="margin" w:leader="dot"/>
        <w:t xml:space="preserve">41</w:t>
      </w:r>
    </w:p>
    <w:p>
      <w:pPr>
        <w:spacing w:after="100"/>
      </w:pPr>
      <w:r>
        <w:rPr>
          <w:rFonts w:ascii="Calibri" w:cs="Calibri" w:eastAsia="Calibri" w:hAnsi="Calibri"/>
          <w:sz w:val="21"/>
          <w:szCs w:val="21"/>
        </w:rPr>
        <w:t xml:space="preserve">21. The Backdoor Roth IRA for High-Income Earners</w:t>
      </w:r>
      <w:r>
        <w:rPr>
          <w:rFonts w:ascii="Calibri" w:cs="Calibri" w:eastAsia="Calibri" w:hAnsi="Calibri"/>
          <w:sz w:val="21"/>
          <w:szCs w:val="21"/>
        </w:rPr>
        <w:ptab w:alignment="right" w:relativeTo="margin" w:leader="dot"/>
        <w:t xml:space="preserve">43</w:t>
      </w:r>
    </w:p>
    <w:p>
      <w:pPr>
        <w:spacing w:after="100"/>
      </w:pPr>
      <w:r>
        <w:rPr>
          <w:rFonts w:ascii="Calibri" w:cs="Calibri" w:eastAsia="Calibri" w:hAnsi="Calibri"/>
          <w:sz w:val="21"/>
          <w:szCs w:val="21"/>
        </w:rPr>
        <w:t xml:space="preserve">22. The Mega-Backdoor Roth 401(k) Strategy</w:t>
      </w:r>
      <w:r>
        <w:rPr>
          <w:rFonts w:ascii="Calibri" w:cs="Calibri" w:eastAsia="Calibri" w:hAnsi="Calibri"/>
          <w:sz w:val="21"/>
          <w:szCs w:val="21"/>
        </w:rPr>
        <w:ptab w:alignment="right" w:relativeTo="margin" w:leader="dot"/>
        <w:t xml:space="preserve">45</w:t>
      </w:r>
    </w:p>
    <w:p>
      <w:pPr>
        <w:spacing w:after="100"/>
      </w:pPr>
      <w:r>
        <w:rPr>
          <w:rFonts w:ascii="Calibri" w:cs="Calibri" w:eastAsia="Calibri" w:hAnsi="Calibri"/>
          <w:sz w:val="21"/>
          <w:szCs w:val="21"/>
        </w:rPr>
        <w:t xml:space="preserve">23. 529 Plan Superfunding: The Five-Year Gift-Tax Election</w:t>
      </w:r>
      <w:r>
        <w:rPr>
          <w:rFonts w:ascii="Calibri" w:cs="Calibri" w:eastAsia="Calibri" w:hAnsi="Calibri"/>
          <w:sz w:val="21"/>
          <w:szCs w:val="21"/>
        </w:rPr>
        <w:ptab w:alignment="right" w:relativeTo="margin" w:leader="dot"/>
        <w:t xml:space="preserve">47</w:t>
      </w:r>
    </w:p>
    <w:p>
      <w:pPr>
        <w:spacing w:after="100"/>
      </w:pPr>
      <w:r>
        <w:rPr>
          <w:rFonts w:ascii="Calibri" w:cs="Calibri" w:eastAsia="Calibri" w:hAnsi="Calibri"/>
          <w:sz w:val="21"/>
          <w:szCs w:val="21"/>
        </w:rPr>
        <w:t xml:space="preserve">24. The Short-Term Rental Loophole for Active Losses</w:t>
      </w:r>
      <w:r>
        <w:rPr>
          <w:rFonts w:ascii="Calibri" w:cs="Calibri" w:eastAsia="Calibri" w:hAnsi="Calibri"/>
          <w:sz w:val="21"/>
          <w:szCs w:val="21"/>
        </w:rPr>
        <w:ptab w:alignment="right" w:relativeTo="margin" w:leader="dot"/>
        <w:t xml:space="preserve">49</w:t>
      </w:r>
    </w:p>
    <w:p>
      <w:pPr>
        <w:spacing w:after="100"/>
      </w:pPr>
      <w:r>
        <w:rPr>
          <w:rFonts w:ascii="Calibri" w:cs="Calibri" w:eastAsia="Calibri" w:hAnsi="Calibri"/>
          <w:sz w:val="21"/>
          <w:szCs w:val="21"/>
        </w:rPr>
        <w:t xml:space="preserve">25. Selling a Partnership Interest: Debt-Relief Gain, Suspended-Loss Release, and Hot Assets</w:t>
      </w:r>
      <w:r>
        <w:rPr>
          <w:rFonts w:ascii="Calibri" w:cs="Calibri" w:eastAsia="Calibri" w:hAnsi="Calibri"/>
          <w:sz w:val="21"/>
          <w:szCs w:val="21"/>
        </w:rPr>
        <w:ptab w:alignment="right" w:relativeTo="margin" w:leader="dot"/>
        <w:t xml:space="preserve">51</w:t>
      </w:r>
    </w:p>
    <w:p>
      <w:pPr>
        <w:spacing w:after="100"/>
      </w:pPr>
      <w:r>
        <w:rPr>
          <w:rFonts w:ascii="Calibri" w:cs="Calibri" w:eastAsia="Calibri" w:hAnsi="Calibri"/>
          <w:sz w:val="21"/>
          <w:szCs w:val="21"/>
        </w:rPr>
        <w:t xml:space="preserve">26. Qualified Opportunity Zone (QOZ) Capital Gain Deferral</w:t>
      </w:r>
      <w:r>
        <w:rPr>
          <w:rFonts w:ascii="Calibri" w:cs="Calibri" w:eastAsia="Calibri" w:hAnsi="Calibri"/>
          <w:sz w:val="21"/>
          <w:szCs w:val="21"/>
        </w:rPr>
        <w:ptab w:alignment="right" w:relativeTo="margin" w:leader="dot"/>
        <w:t xml:space="preserve">53</w:t>
      </w:r>
    </w:p>
    <w:p>
      <w:pPr>
        <w:spacing w:after="100"/>
      </w:pPr>
      <w:r>
        <w:rPr>
          <w:rFonts w:ascii="Calibri" w:cs="Calibri" w:eastAsia="Calibri" w:hAnsi="Calibri"/>
          <w:sz w:val="21"/>
          <w:szCs w:val="21"/>
        </w:rPr>
        <w:t xml:space="preserve">27. Tax-Loss Harvesting to Offset Capital Gains</w:t>
      </w:r>
      <w:r>
        <w:rPr>
          <w:rFonts w:ascii="Calibri" w:cs="Calibri" w:eastAsia="Calibri" w:hAnsi="Calibri"/>
          <w:sz w:val="21"/>
          <w:szCs w:val="21"/>
        </w:rPr>
        <w:ptab w:alignment="right" w:relativeTo="margin" w:leader="dot"/>
        <w:t xml:space="preserve">55</w:t>
      </w:r>
    </w:p>
    <w:p>
      <w:pPr>
        <w:spacing w:after="100"/>
      </w:pPr>
      <w:r>
        <w:rPr>
          <w:rFonts w:ascii="Calibri" w:cs="Calibri" w:eastAsia="Calibri" w:hAnsi="Calibri"/>
          <w:sz w:val="21"/>
          <w:szCs w:val="21"/>
        </w:rPr>
        <w:t xml:space="preserve">28. The Six-Year Voluntary Compliance Window for Late-Filed Returns</w:t>
      </w:r>
      <w:r>
        <w:rPr>
          <w:rFonts w:ascii="Calibri" w:cs="Calibri" w:eastAsia="Calibri" w:hAnsi="Calibri"/>
          <w:sz w:val="21"/>
          <w:szCs w:val="21"/>
        </w:rPr>
        <w:ptab w:alignment="right" w:relativeTo="margin" w:leader="dot"/>
        <w:t xml:space="preserve">57</w:t>
      </w:r>
    </w:p>
    <w:p>
      <w:pPr>
        <w:spacing w:after="100"/>
      </w:pPr>
      <w:r>
        <w:rPr>
          <w:rFonts w:ascii="Calibri" w:cs="Calibri" w:eastAsia="Calibri" w:hAnsi="Calibri"/>
          <w:sz w:val="21"/>
          <w:szCs w:val="21"/>
        </w:rPr>
        <w:t xml:space="preserve">29. Getting a Misapplied IRS Payment Correctly Credited</w:t>
      </w:r>
      <w:r>
        <w:rPr>
          <w:rFonts w:ascii="Calibri" w:cs="Calibri" w:eastAsia="Calibri" w:hAnsi="Calibri"/>
          <w:sz w:val="21"/>
          <w:szCs w:val="21"/>
        </w:rPr>
        <w:ptab w:alignment="right" w:relativeTo="margin" w:leader="dot"/>
        <w:t xml:space="preserve">59</w:t>
      </w:r>
    </w:p>
    <w:p>
      <w:pPr>
        <w:spacing w:after="100"/>
      </w:pPr>
      <w:r>
        <w:rPr>
          <w:rFonts w:ascii="Calibri" w:cs="Calibri" w:eastAsia="Calibri" w:hAnsi="Calibri"/>
          <w:sz w:val="21"/>
          <w:szCs w:val="21"/>
        </w:rPr>
        <w:t xml:space="preserve">30. Pursuing IRS Penalty Abatement</w:t>
      </w:r>
      <w:r>
        <w:rPr>
          <w:rFonts w:ascii="Calibri" w:cs="Calibri" w:eastAsia="Calibri" w:hAnsi="Calibri"/>
          <w:sz w:val="21"/>
          <w:szCs w:val="21"/>
        </w:rPr>
        <w:ptab w:alignment="right" w:relativeTo="margin" w:leader="dot"/>
        <w:t xml:space="preserve">61</w:t>
      </w:r>
    </w:p>
    <w:p>
      <w:pPr>
        <w:spacing w:after="100"/>
      </w:pPr>
      <w:r>
        <w:rPr>
          <w:rFonts w:ascii="Calibri" w:cs="Calibri" w:eastAsia="Calibri" w:hAnsi="Calibri"/>
          <w:sz w:val="21"/>
          <w:szCs w:val="21"/>
        </w:rPr>
        <w:t xml:space="preserve">31. Trust Fund Recovery Penalty Exposure for Responsible Persons</w:t>
      </w:r>
      <w:r>
        <w:rPr>
          <w:rFonts w:ascii="Calibri" w:cs="Calibri" w:eastAsia="Calibri" w:hAnsi="Calibri"/>
          <w:sz w:val="21"/>
          <w:szCs w:val="21"/>
        </w:rPr>
        <w:ptab w:alignment="right" w:relativeTo="margin" w:leader="dot"/>
        <w:t xml:space="preserve">63</w:t>
      </w:r>
    </w:p>
    <w:p>
      <w:pPr>
        <w:spacing w:after="100"/>
      </w:pPr>
      <w:r>
        <w:rPr>
          <w:rFonts w:ascii="Calibri" w:cs="Calibri" w:eastAsia="Calibri" w:hAnsi="Calibri"/>
          <w:sz w:val="21"/>
          <w:szCs w:val="21"/>
        </w:rPr>
        <w:t xml:space="preserve">32. Distributing S-Corporation Earnings Before Converting to a C-Corporation</w:t>
      </w:r>
      <w:r>
        <w:rPr>
          <w:rFonts w:ascii="Calibri" w:cs="Calibri" w:eastAsia="Calibri" w:hAnsi="Calibri"/>
          <w:sz w:val="21"/>
          <w:szCs w:val="21"/>
        </w:rPr>
        <w:ptab w:alignment="right" w:relativeTo="margin" w:leader="dot"/>
        <w:t xml:space="preserve">65</w:t>
      </w:r>
    </w:p>
    <w:p>
      <w:pPr>
        <w:spacing w:after="100"/>
      </w:pPr>
      <w:r>
        <w:rPr>
          <w:rFonts w:ascii="Calibri" w:cs="Calibri" w:eastAsia="Calibri" w:hAnsi="Calibri"/>
          <w:sz w:val="21"/>
          <w:szCs w:val="21"/>
        </w:rPr>
        <w:t xml:space="preserve">33. Maximizing the Qualified Business Income (QBI) Deduction Through a Wage True-Up</w:t>
      </w:r>
      <w:r>
        <w:rPr>
          <w:rFonts w:ascii="Calibri" w:cs="Calibri" w:eastAsia="Calibri" w:hAnsi="Calibri"/>
          <w:sz w:val="21"/>
          <w:szCs w:val="21"/>
        </w:rPr>
        <w:ptab w:alignment="right" w:relativeTo="margin" w:leader="dot"/>
        <w:t xml:space="preserve">67</w:t>
      </w:r>
    </w:p>
    <w:p>
      <w:pPr>
        <w:spacing w:after="100"/>
      </w:pPr>
      <w:r>
        <w:rPr>
          <w:rFonts w:ascii="Calibri" w:cs="Calibri" w:eastAsia="Calibri" w:hAnsi="Calibri"/>
          <w:sz w:val="21"/>
          <w:szCs w:val="21"/>
        </w:rPr>
        <w:t xml:space="preserve">34. Oil &amp; Gas Working Interest Deductions (Intangible Drilling Costs)</w:t>
      </w:r>
      <w:r>
        <w:rPr>
          <w:rFonts w:ascii="Calibri" w:cs="Calibri" w:eastAsia="Calibri" w:hAnsi="Calibri"/>
          <w:sz w:val="21"/>
          <w:szCs w:val="21"/>
        </w:rPr>
        <w:ptab w:alignment="right" w:relativeTo="margin" w:leader="dot"/>
        <w:t xml:space="preserve">69</w:t>
      </w:r>
    </w:p>
    <w:p>
      <w:pPr>
        <w:spacing w:after="100"/>
      </w:pPr>
      <w:r>
        <w:rPr>
          <w:rFonts w:ascii="Calibri" w:cs="Calibri" w:eastAsia="Calibri" w:hAnsi="Calibri"/>
          <w:sz w:val="21"/>
          <w:szCs w:val="21"/>
        </w:rPr>
        <w:t xml:space="preserve">35. Avoiding the Accumulated Earnings Tax in a C-Corporation</w:t>
      </w:r>
      <w:r>
        <w:rPr>
          <w:rFonts w:ascii="Calibri" w:cs="Calibri" w:eastAsia="Calibri" w:hAnsi="Calibri"/>
          <w:sz w:val="21"/>
          <w:szCs w:val="21"/>
        </w:rPr>
        <w:ptab w:alignment="right" w:relativeTo="margin" w:leader="dot"/>
        <w:t xml:space="preserve">71</w:t>
      </w:r>
    </w:p>
    <w:p>
      <w:pPr>
        <w:spacing w:after="100"/>
      </w:pPr>
      <w:r>
        <w:rPr>
          <w:rFonts w:ascii="Calibri" w:cs="Calibri" w:eastAsia="Calibri" w:hAnsi="Calibri"/>
          <w:sz w:val="21"/>
          <w:szCs w:val="21"/>
        </w:rPr>
        <w:t xml:space="preserve">36. Specific Lot Identification and Holding-Period Timing for Active Investors</w:t>
      </w:r>
      <w:r>
        <w:rPr>
          <w:rFonts w:ascii="Calibri" w:cs="Calibri" w:eastAsia="Calibri" w:hAnsi="Calibri"/>
          <w:sz w:val="21"/>
          <w:szCs w:val="21"/>
        </w:rPr>
        <w:ptab w:alignment="right" w:relativeTo="margin" w:leader="dot"/>
        <w:t xml:space="preserve">73</w:t>
      </w:r>
    </w:p>
    <w:p>
      <w:pPr>
        <w:spacing w:after="100"/>
      </w:pPr>
      <w:r>
        <w:rPr>
          <w:rFonts w:ascii="Calibri" w:cs="Calibri" w:eastAsia="Calibri" w:hAnsi="Calibri"/>
          <w:sz w:val="21"/>
          <w:szCs w:val="21"/>
        </w:rPr>
        <w:t xml:space="preserve">37. Gifting Minority Business Interests Before a Priced Funding Round</w:t>
      </w:r>
      <w:r>
        <w:rPr>
          <w:rFonts w:ascii="Calibri" w:cs="Calibri" w:eastAsia="Calibri" w:hAnsi="Calibri"/>
          <w:sz w:val="21"/>
          <w:szCs w:val="21"/>
        </w:rPr>
        <w:ptab w:alignment="right" w:relativeTo="margin" w:leader="dot"/>
        <w:t xml:space="preserve">75</w:t>
      </w:r>
    </w:p>
    <w:p>
      <w:pPr>
        <w:spacing w:after="100"/>
      </w:pPr>
      <w:r>
        <w:rPr>
          <w:rFonts w:ascii="Calibri" w:cs="Calibri" w:eastAsia="Calibri" w:hAnsi="Calibri"/>
          <w:sz w:val="21"/>
          <w:szCs w:val="21"/>
        </w:rPr>
        <w:t xml:space="preserve">38. Depreciating Foreign Rental Real Estate Under the Alternative Depreciation System</w:t>
      </w:r>
      <w:r>
        <w:rPr>
          <w:rFonts w:ascii="Calibri" w:cs="Calibri" w:eastAsia="Calibri" w:hAnsi="Calibri"/>
          <w:sz w:val="21"/>
          <w:szCs w:val="21"/>
        </w:rPr>
        <w:ptab w:alignment="right" w:relativeTo="margin" w:leader="dot"/>
        <w:t xml:space="preserve">77</w:t>
      </w:r>
    </w:p>
    <w:p>
      <w:pPr>
        <w:spacing w:after="100"/>
      </w:pPr>
      <w:r>
        <w:rPr>
          <w:rFonts w:ascii="Calibri" w:cs="Calibri" w:eastAsia="Calibri" w:hAnsi="Calibri"/>
          <w:sz w:val="21"/>
          <w:szCs w:val="21"/>
        </w:rPr>
        <w:t xml:space="preserve">39. Timing a Nonqualified Deferred Compensation (§409A) Distribution Election</w:t>
      </w:r>
      <w:r>
        <w:rPr>
          <w:rFonts w:ascii="Calibri" w:cs="Calibri" w:eastAsia="Calibri" w:hAnsi="Calibri"/>
          <w:sz w:val="21"/>
          <w:szCs w:val="21"/>
        </w:rPr>
        <w:ptab w:alignment="right" w:relativeTo="margin" w:leader="dot"/>
        <w:t xml:space="preserve">79</w:t>
      </w:r>
    </w:p>
    <w:p>
      <w:pPr>
        <w:spacing w:after="100"/>
      </w:pPr>
      <w:r>
        <w:rPr>
          <w:rFonts w:ascii="Calibri" w:cs="Calibri" w:eastAsia="Calibri" w:hAnsi="Calibri"/>
          <w:sz w:val="21"/>
          <w:szCs w:val="21"/>
        </w:rPr>
        <w:t xml:space="preserve">40. Establishing a Pre-Revenue Activity as a Legitimate Trade or Business</w:t>
      </w:r>
      <w:r>
        <w:rPr>
          <w:rFonts w:ascii="Calibri" w:cs="Calibri" w:eastAsia="Calibri" w:hAnsi="Calibri"/>
          <w:sz w:val="21"/>
          <w:szCs w:val="21"/>
        </w:rPr>
        <w:ptab w:alignment="right" w:relativeTo="margin" w:leader="dot"/>
        <w:t xml:space="preserve">81</w:t>
      </w:r>
    </w:p>
    <w:p>
      <w:pPr>
        <w:spacing w:after="100"/>
      </w:pPr>
      <w:r>
        <w:rPr>
          <w:rFonts w:ascii="Calibri" w:cs="Calibri" w:eastAsia="Calibri" w:hAnsi="Calibri"/>
          <w:sz w:val="21"/>
          <w:szCs w:val="21"/>
        </w:rPr>
        <w:t xml:space="preserve">41. Routing 1099 Severance or Consulting Income Through a New LLC</w:t>
      </w:r>
      <w:r>
        <w:rPr>
          <w:rFonts w:ascii="Calibri" w:cs="Calibri" w:eastAsia="Calibri" w:hAnsi="Calibri"/>
          <w:sz w:val="21"/>
          <w:szCs w:val="21"/>
        </w:rPr>
        <w:ptab w:alignment="right" w:relativeTo="margin" w:leader="dot"/>
        <w:t xml:space="preserve">83</w:t>
      </w:r>
    </w:p>
    <w:p>
      <w:pPr>
        <w:spacing w:after="100"/>
      </w:pPr>
      <w:r>
        <w:rPr>
          <w:rFonts w:ascii="Calibri" w:cs="Calibri" w:eastAsia="Calibri" w:hAnsi="Calibri"/>
          <w:sz w:val="21"/>
          <w:szCs w:val="21"/>
        </w:rPr>
        <w:t xml:space="preserve">42. Electing a Higher Withholding Rate on Supplemental Wages</w:t>
      </w:r>
      <w:r>
        <w:rPr>
          <w:rFonts w:ascii="Calibri" w:cs="Calibri" w:eastAsia="Calibri" w:hAnsi="Calibri"/>
          <w:sz w:val="21"/>
          <w:szCs w:val="21"/>
        </w:rPr>
        <w:ptab w:alignment="right" w:relativeTo="margin" w:leader="dot"/>
        <w:t xml:space="preserve">85</w:t>
      </w:r>
    </w:p>
    <w:p>
      <w:pPr>
        <w:spacing w:after="100"/>
      </w:pPr>
      <w:r>
        <w:rPr>
          <w:rFonts w:ascii="Calibri" w:cs="Calibri" w:eastAsia="Calibri" w:hAnsi="Calibri"/>
          <w:sz w:val="21"/>
          <w:szCs w:val="21"/>
        </w:rPr>
        <w:t xml:space="preserve">43. Cryptocurrency Loss Harvesting Without the Wash-Sale Rule</w:t>
      </w:r>
      <w:r>
        <w:rPr>
          <w:rFonts w:ascii="Calibri" w:cs="Calibri" w:eastAsia="Calibri" w:hAnsi="Calibri"/>
          <w:sz w:val="21"/>
          <w:szCs w:val="21"/>
        </w:rPr>
        <w:ptab w:alignment="right" w:relativeTo="margin" w:leader="dot"/>
        <w:t xml:space="preserve">87</w:t>
      </w:r>
    </w:p>
    <w:p>
      <w:pPr>
        <w:spacing w:after="100"/>
      </w:pPr>
      <w:r>
        <w:rPr>
          <w:rFonts w:ascii="Calibri" w:cs="Calibri" w:eastAsia="Calibri" w:hAnsi="Calibri"/>
          <w:sz w:val="21"/>
          <w:szCs w:val="21"/>
        </w:rPr>
        <w:t xml:space="preserve">44. The § 475(f) Mark-to-Market Election for Active Traders</w:t>
      </w:r>
      <w:r>
        <w:rPr>
          <w:rFonts w:ascii="Calibri" w:cs="Calibri" w:eastAsia="Calibri" w:hAnsi="Calibri"/>
          <w:sz w:val="21"/>
          <w:szCs w:val="21"/>
        </w:rPr>
        <w:ptab w:alignment="right" w:relativeTo="margin" w:leader="dot"/>
        <w:t xml:space="preserve">89</w:t>
      </w:r>
    </w:p>
    <w:p>
      <w:pPr>
        <w:spacing w:after="100"/>
      </w:pPr>
      <w:r>
        <w:rPr>
          <w:rFonts w:ascii="Calibri" w:cs="Calibri" w:eastAsia="Calibri" w:hAnsi="Calibri"/>
          <w:sz w:val="21"/>
          <w:szCs w:val="21"/>
        </w:rPr>
        <w:t xml:space="preserve">45. The Heavy Vehicle (GVWR) Depreciation Exception</w:t>
      </w:r>
      <w:r>
        <w:rPr>
          <w:rFonts w:ascii="Calibri" w:cs="Calibri" w:eastAsia="Calibri" w:hAnsi="Calibri"/>
          <w:sz w:val="21"/>
          <w:szCs w:val="21"/>
        </w:rPr>
        <w:ptab w:alignment="right" w:relativeTo="margin" w:leader="dot"/>
        <w:t xml:space="preserve">91</w:t>
      </w:r>
    </w:p>
    <w:p>
      <w:pPr>
        <w:spacing w:after="100"/>
      </w:pPr>
      <w:r>
        <w:rPr>
          <w:rFonts w:ascii="Calibri" w:cs="Calibri" w:eastAsia="Calibri" w:hAnsi="Calibri"/>
          <w:sz w:val="21"/>
          <w:szCs w:val="21"/>
        </w:rPr>
        <w:t xml:space="preserve">46. Real Estate Professional Status (REPS) to Deduct Rental Losses Against Other Income</w:t>
      </w:r>
      <w:r>
        <w:rPr>
          <w:rFonts w:ascii="Calibri" w:cs="Calibri" w:eastAsia="Calibri" w:hAnsi="Calibri"/>
          <w:sz w:val="21"/>
          <w:szCs w:val="21"/>
        </w:rPr>
        <w:ptab w:alignment="right" w:relativeTo="margin" w:leader="dot"/>
        <w:t xml:space="preserve">93</w:t>
      </w:r>
    </w:p>
    <w:p>
      <w:pPr>
        <w:spacing w:after="100"/>
      </w:pPr>
      <w:r>
        <w:rPr>
          <w:rFonts w:ascii="Calibri" w:cs="Calibri" w:eastAsia="Calibri" w:hAnsi="Calibri"/>
          <w:sz w:val="21"/>
          <w:szCs w:val="21"/>
        </w:rPr>
        <w:t xml:space="preserve">47. The Specified Service Trade or Business (SSTB) Exclusion from the QBI Deduction</w:t>
      </w:r>
      <w:r>
        <w:rPr>
          <w:rFonts w:ascii="Calibri" w:cs="Calibri" w:eastAsia="Calibri" w:hAnsi="Calibri"/>
          <w:sz w:val="21"/>
          <w:szCs w:val="21"/>
        </w:rPr>
        <w:ptab w:alignment="right" w:relativeTo="margin" w:leader="dot"/>
        <w:t xml:space="preserve">95</w:t>
      </w:r>
    </w:p>
    <w:p>
      <w:pPr>
        <w:spacing w:after="100"/>
      </w:pPr>
      <w:r>
        <w:rPr>
          <w:rFonts w:ascii="Calibri" w:cs="Calibri" w:eastAsia="Calibri" w:hAnsi="Calibri"/>
          <w:sz w:val="21"/>
          <w:szCs w:val="21"/>
        </w:rPr>
        <w:t xml:space="preserve">48. S-Corporation Shareholder Basis and the Excess-Distribution Trap (Form 7203)</w:t>
      </w:r>
      <w:r>
        <w:rPr>
          <w:rFonts w:ascii="Calibri" w:cs="Calibri" w:eastAsia="Calibri" w:hAnsi="Calibri"/>
          <w:sz w:val="21"/>
          <w:szCs w:val="21"/>
        </w:rPr>
        <w:ptab w:alignment="right" w:relativeTo="margin" w:leader="dot"/>
        <w:t xml:space="preserve">97</w:t>
      </w:r>
    </w:p>
    <w:p>
      <w:pPr>
        <w:spacing w:after="100"/>
      </w:pPr>
      <w:r>
        <w:rPr>
          <w:rFonts w:ascii="Calibri" w:cs="Calibri" w:eastAsia="Calibri" w:hAnsi="Calibri"/>
          <w:sz w:val="21"/>
          <w:szCs w:val="21"/>
        </w:rPr>
        <w:t xml:space="preserve">49. Avoiding Real-Estate Dealer (Ordinary Income) Classification on Property Flips</w:t>
      </w:r>
      <w:r>
        <w:rPr>
          <w:rFonts w:ascii="Calibri" w:cs="Calibri" w:eastAsia="Calibri" w:hAnsi="Calibri"/>
          <w:sz w:val="21"/>
          <w:szCs w:val="21"/>
        </w:rPr>
        <w:ptab w:alignment="right" w:relativeTo="margin" w:leader="dot"/>
        <w:t xml:space="preserve">99</w:t>
      </w:r>
    </w:p>
    <w:p>
      <w:pPr>
        <w:spacing w:after="100"/>
      </w:pPr>
      <w:r>
        <w:rPr>
          <w:rFonts w:ascii="Calibri" w:cs="Calibri" w:eastAsia="Calibri" w:hAnsi="Calibri"/>
          <w:sz w:val="21"/>
          <w:szCs w:val="21"/>
        </w:rPr>
        <w:t xml:space="preserve">50. The Self-Rental Trap When Renting Property to Your Own Business</w:t>
      </w:r>
      <w:r>
        <w:rPr>
          <w:rFonts w:ascii="Calibri" w:cs="Calibri" w:eastAsia="Calibri" w:hAnsi="Calibri"/>
          <w:sz w:val="21"/>
          <w:szCs w:val="21"/>
        </w:rPr>
        <w:ptab w:alignment="right" w:relativeTo="margin" w:leader="dot"/>
        <w:t xml:space="preserve">101</w:t>
      </w:r>
    </w:p>
    <w:p>
      <w:pPr>
        <w:spacing w:after="100"/>
      </w:pPr>
      <w:r>
        <w:rPr>
          <w:rFonts w:ascii="Calibri" w:cs="Calibri" w:eastAsia="Calibri" w:hAnsi="Calibri"/>
          <w:sz w:val="21"/>
          <w:szCs w:val="21"/>
        </w:rPr>
        <w:t xml:space="preserve">51. The Research &amp; Development (R&amp;D) Tax Credit and the Payroll-Tax Offset Election</w:t>
      </w:r>
      <w:r>
        <w:rPr>
          <w:rFonts w:ascii="Calibri" w:cs="Calibri" w:eastAsia="Calibri" w:hAnsi="Calibri"/>
          <w:sz w:val="21"/>
          <w:szCs w:val="21"/>
        </w:rPr>
        <w:ptab w:alignment="right" w:relativeTo="margin" w:leader="dot"/>
        <w:t xml:space="preserve">103</w:t>
      </w:r>
    </w:p>
    <w:p>
      <w:pPr>
        <w:spacing w:after="100"/>
      </w:pPr>
      <w:r>
        <w:rPr>
          <w:rFonts w:ascii="Calibri" w:cs="Calibri" w:eastAsia="Calibri" w:hAnsi="Calibri"/>
          <w:sz w:val="21"/>
          <w:szCs w:val="21"/>
        </w:rPr>
        <w:t xml:space="preserve">52. The Foreign Earned Income Exclusion (§911) for Americans Working Abroad</w:t>
      </w:r>
      <w:r>
        <w:rPr>
          <w:rFonts w:ascii="Calibri" w:cs="Calibri" w:eastAsia="Calibri" w:hAnsi="Calibri"/>
          <w:sz w:val="21"/>
          <w:szCs w:val="21"/>
        </w:rPr>
        <w:ptab w:alignment="right" w:relativeTo="margin" w:leader="dot"/>
        <w:t xml:space="preserve">105</w:t>
      </w:r>
    </w:p>
    <w:p>
      <w:pPr>
        <w:spacing w:after="100"/>
      </w:pPr>
      <w:r>
        <w:rPr>
          <w:rFonts w:ascii="Calibri" w:cs="Calibri" w:eastAsia="Calibri" w:hAnsi="Calibri"/>
          <w:sz w:val="21"/>
          <w:szCs w:val="21"/>
        </w:rPr>
        <w:t xml:space="preserve">53. Aggregating Multiple Businesses for the QBI Wage Limitation (§ 1.199A-4)</w:t>
      </w:r>
      <w:r>
        <w:rPr>
          <w:rFonts w:ascii="Calibri" w:cs="Calibri" w:eastAsia="Calibri" w:hAnsi="Calibri"/>
          <w:sz w:val="21"/>
          <w:szCs w:val="21"/>
        </w:rPr>
        <w:ptab w:alignment="right" w:relativeTo="margin" w:leader="dot"/>
        <w:t xml:space="preserve">107</w:t>
      </w:r>
    </w:p>
    <w:p>
      <w:pPr>
        <w:spacing w:after="100"/>
      </w:pPr>
      <w:r>
        <w:rPr>
          <w:rFonts w:ascii="Calibri" w:cs="Calibri" w:eastAsia="Calibri" w:hAnsi="Calibri"/>
          <w:sz w:val="21"/>
          <w:szCs w:val="21"/>
        </w:rPr>
        <w:t xml:space="preserve">54. The Foreign Tax Credit for Taxes Paid to a Foreign Government</w:t>
      </w:r>
      <w:r>
        <w:rPr>
          <w:rFonts w:ascii="Calibri" w:cs="Calibri" w:eastAsia="Calibri" w:hAnsi="Calibri"/>
          <w:sz w:val="21"/>
          <w:szCs w:val="21"/>
        </w:rPr>
        <w:ptab w:alignment="right" w:relativeTo="margin" w:leader="dot"/>
        <w:t xml:space="preserve">109</w:t>
      </w:r>
    </w:p>
    <w:p>
      <w:pPr>
        <w:spacing w:after="100"/>
      </w:pPr>
      <w:r>
        <w:rPr>
          <w:rFonts w:ascii="Calibri" w:cs="Calibri" w:eastAsia="Calibri" w:hAnsi="Calibri"/>
          <w:sz w:val="21"/>
          <w:szCs w:val="21"/>
        </w:rPr>
        <w:t xml:space="preserve">55. Borrowing Against Appreciated Securities Instead of Selling</w:t>
      </w:r>
      <w:r>
        <w:rPr>
          <w:rFonts w:ascii="Calibri" w:cs="Calibri" w:eastAsia="Calibri" w:hAnsi="Calibri"/>
          <w:sz w:val="21"/>
          <w:szCs w:val="21"/>
        </w:rPr>
        <w:ptab w:alignment="right" w:relativeTo="margin" w:leader="dot"/>
        <w:t xml:space="preserve">111</w:t>
      </w:r>
    </w:p>
    <w:p>
      <w:pPr>
        <w:spacing w:after="100"/>
      </w:pPr>
      <w:r>
        <w:rPr>
          <w:rFonts w:ascii="Calibri" w:cs="Calibri" w:eastAsia="Calibri" w:hAnsi="Calibri"/>
          <w:sz w:val="21"/>
          <w:szCs w:val="21"/>
        </w:rPr>
        <w:t xml:space="preserve">56. Timing Cash-Basis Income and Expenses to Manage Taxable Income</w:t>
      </w:r>
      <w:r>
        <w:rPr>
          <w:rFonts w:ascii="Calibri" w:cs="Calibri" w:eastAsia="Calibri" w:hAnsi="Calibri"/>
          <w:sz w:val="21"/>
          <w:szCs w:val="21"/>
        </w:rPr>
        <w:ptab w:alignment="right" w:relativeTo="margin" w:leader="dot"/>
        <w:t xml:space="preserve">113</w:t>
      </w:r>
    </w:p>
    <w:p>
      <w:pPr>
        <w:spacing w:after="100"/>
      </w:pPr>
      <w:r>
        <w:rPr>
          <w:rFonts w:ascii="Calibri" w:cs="Calibri" w:eastAsia="Calibri" w:hAnsi="Calibri"/>
          <w:sz w:val="21"/>
          <w:szCs w:val="21"/>
        </w:rPr>
        <w:t xml:space="preserve">57. QSEHRA: A Health Reimbursement Arrangement for Small Employers Without a Group Plan</w:t>
      </w:r>
      <w:r>
        <w:rPr>
          <w:rFonts w:ascii="Calibri" w:cs="Calibri" w:eastAsia="Calibri" w:hAnsi="Calibri"/>
          <w:sz w:val="21"/>
          <w:szCs w:val="21"/>
        </w:rPr>
        <w:ptab w:alignment="right" w:relativeTo="margin" w:leader="dot"/>
        <w:t xml:space="preserve">115</w:t>
      </w:r>
    </w:p>
    <w:p>
      <w:pPr>
        <w:spacing w:after="100"/>
      </w:pPr>
      <w:r>
        <w:rPr>
          <w:rFonts w:ascii="Calibri" w:cs="Calibri" w:eastAsia="Calibri" w:hAnsi="Calibri"/>
          <w:sz w:val="21"/>
          <w:szCs w:val="21"/>
        </w:rPr>
        <w:t xml:space="preserve">58. The § 162(l) Self-Employed Health Insurance Deduction for &gt;2% S-Corp Shareholders</w:t>
      </w:r>
      <w:r>
        <w:rPr>
          <w:rFonts w:ascii="Calibri" w:cs="Calibri" w:eastAsia="Calibri" w:hAnsi="Calibri"/>
          <w:sz w:val="21"/>
          <w:szCs w:val="21"/>
        </w:rPr>
        <w:ptab w:alignment="right" w:relativeTo="margin" w:leader="dot"/>
        <w:t xml:space="preserve">117</w:t>
      </w:r>
    </w:p>
    <w:p>
      <w:pPr>
        <w:spacing w:after="100"/>
      </w:pPr>
      <w:r>
        <w:rPr>
          <w:rFonts w:ascii="Calibri" w:cs="Calibri" w:eastAsia="Calibri" w:hAnsi="Calibri"/>
          <w:sz w:val="21"/>
          <w:szCs w:val="21"/>
        </w:rPr>
        <w:t xml:space="preserve">59. The Investment Interest Expense Deduction and Its Carryforward (Form 4952)</w:t>
      </w:r>
      <w:r>
        <w:rPr>
          <w:rFonts w:ascii="Calibri" w:cs="Calibri" w:eastAsia="Calibri" w:hAnsi="Calibri"/>
          <w:sz w:val="21"/>
          <w:szCs w:val="21"/>
        </w:rPr>
        <w:ptab w:alignment="right" w:relativeTo="margin" w:leader="dot"/>
        <w:t xml:space="preserve">119</w:t>
      </w:r>
    </w:p>
    <w:p>
      <w:pPr>
        <w:spacing w:after="100"/>
      </w:pPr>
      <w:r>
        <w:rPr>
          <w:rFonts w:ascii="Calibri" w:cs="Calibri" w:eastAsia="Calibri" w:hAnsi="Calibri"/>
          <w:sz w:val="21"/>
          <w:szCs w:val="21"/>
        </w:rPr>
        <w:t xml:space="preserve">60. Investing Through a Self-Directed Roth IRA in a Private Business</w:t>
      </w:r>
      <w:r>
        <w:rPr>
          <w:rFonts w:ascii="Calibri" w:cs="Calibri" w:eastAsia="Calibri" w:hAnsi="Calibri"/>
          <w:sz w:val="21"/>
          <w:szCs w:val="21"/>
        </w:rPr>
        <w:ptab w:alignment="right" w:relativeTo="margin" w:leader="dot"/>
        <w:t xml:space="preserve">121</w:t>
      </w:r>
    </w:p>
    <w:p>
      <w:pPr>
        <w:spacing w:after="100"/>
      </w:pPr>
      <w:r>
        <w:rPr>
          <w:rFonts w:ascii="Calibri" w:cs="Calibri" w:eastAsia="Calibri" w:hAnsi="Calibri"/>
          <w:sz w:val="21"/>
          <w:szCs w:val="21"/>
        </w:rPr>
        <w:t xml:space="preserve">61. Fixing the RSU Withholding Gap Through Form W-4</w:t>
      </w:r>
      <w:r>
        <w:rPr>
          <w:rFonts w:ascii="Calibri" w:cs="Calibri" w:eastAsia="Calibri" w:hAnsi="Calibri"/>
          <w:sz w:val="21"/>
          <w:szCs w:val="21"/>
        </w:rPr>
        <w:ptab w:alignment="right" w:relativeTo="margin" w:leader="dot"/>
        <w:t xml:space="preserve">123</w:t>
      </w:r>
    </w:p>
    <w:p>
      <w:pPr>
        <w:spacing w:after="100"/>
      </w:pPr>
      <w:r>
        <w:rPr>
          <w:rFonts w:ascii="Calibri" w:cs="Calibri" w:eastAsia="Calibri" w:hAnsi="Calibri"/>
          <w:sz w:val="21"/>
          <w:szCs w:val="21"/>
        </w:rPr>
        <w:t xml:space="preserve">62. Depreciation Recapture Is Not Deferred by an Installment Sale</w:t>
      </w:r>
      <w:r>
        <w:rPr>
          <w:rFonts w:ascii="Calibri" w:cs="Calibri" w:eastAsia="Calibri" w:hAnsi="Calibri"/>
          <w:sz w:val="21"/>
          <w:szCs w:val="21"/>
        </w:rPr>
        <w:ptab w:alignment="right" w:relativeTo="margin" w:leader="dot"/>
        <w:t xml:space="preserve">125</w:t>
      </w:r>
    </w:p>
    <w:p>
      <w:pPr>
        <w:spacing w:after="100"/>
      </w:pPr>
      <w:r>
        <w:rPr>
          <w:rFonts w:ascii="Calibri" w:cs="Calibri" w:eastAsia="Calibri" w:hAnsi="Calibri"/>
          <w:sz w:val="21"/>
          <w:szCs w:val="21"/>
        </w:rPr>
        <w:t xml:space="preserve">63. Current-Year Deduction of Domestic Research and Software Development Costs</w:t>
      </w:r>
      <w:r>
        <w:rPr>
          <w:rFonts w:ascii="Calibri" w:cs="Calibri" w:eastAsia="Calibri" w:hAnsi="Calibri"/>
          <w:sz w:val="21"/>
          <w:szCs w:val="21"/>
        </w:rPr>
        <w:ptab w:alignment="right" w:relativeTo="margin" w:leader="dot"/>
        <w:t xml:space="preserve">127</w:t>
      </w:r>
    </w:p>
    <w:p>
      <w:pPr>
        <w:spacing w:after="100"/>
      </w:pPr>
      <w:r>
        <w:rPr>
          <w:rFonts w:ascii="Calibri" w:cs="Calibri" w:eastAsia="Calibri" w:hAnsi="Calibri"/>
          <w:sz w:val="21"/>
          <w:szCs w:val="21"/>
        </w:rPr>
        <w:t xml:space="preserve">64. Paying Tuition or Medical Expenses Directly to Avoid Gift Tax</w:t>
      </w:r>
      <w:r>
        <w:rPr>
          <w:rFonts w:ascii="Calibri" w:cs="Calibri" w:eastAsia="Calibri" w:hAnsi="Calibri"/>
          <w:sz w:val="21"/>
          <w:szCs w:val="21"/>
        </w:rPr>
        <w:ptab w:alignment="right" w:relativeTo="margin" w:leader="dot"/>
        <w:t xml:space="preserve">129</w:t>
      </w:r>
    </w:p>
    <w:p>
      <w:pPr>
        <w:spacing w:after="100"/>
      </w:pPr>
      <w:r>
        <w:rPr>
          <w:rFonts w:ascii="Calibri" w:cs="Calibri" w:eastAsia="Calibri" w:hAnsi="Calibri"/>
          <w:sz w:val="21"/>
          <w:szCs w:val="21"/>
        </w:rPr>
        <w:t xml:space="preserve">65. Deferring Gain on an Involuntary Conversion Under § 1033</w:t>
      </w:r>
      <w:r>
        <w:rPr>
          <w:rFonts w:ascii="Calibri" w:cs="Calibri" w:eastAsia="Calibri" w:hAnsi="Calibri"/>
          <w:sz w:val="21"/>
          <w:szCs w:val="21"/>
        </w:rPr>
        <w:ptab w:alignment="right" w:relativeTo="margin" w:leader="dot"/>
        <w:t xml:space="preserve">131</w:t>
      </w:r>
    </w:p>
    <w:p>
      <w:pPr>
        <w:spacing w:after="100"/>
      </w:pPr>
      <w:r>
        <w:rPr>
          <w:rFonts w:ascii="Calibri" w:cs="Calibri" w:eastAsia="Calibri" w:hAnsi="Calibri"/>
          <w:sz w:val="21"/>
          <w:szCs w:val="21"/>
        </w:rPr>
        <w:t xml:space="preserve">66. The § 530 Safe Harbor for Worker Classification</w:t>
      </w:r>
      <w:r>
        <w:rPr>
          <w:rFonts w:ascii="Calibri" w:cs="Calibri" w:eastAsia="Calibri" w:hAnsi="Calibri"/>
          <w:sz w:val="21"/>
          <w:szCs w:val="21"/>
        </w:rPr>
        <w:ptab w:alignment="right" w:relativeTo="margin" w:leader="dot"/>
        <w:t xml:space="preserve">133</w:t>
      </w:r>
    </w:p>
    <w:p>
      <w:pPr>
        <w:spacing w:after="100"/>
      </w:pPr>
      <w:r>
        <w:rPr>
          <w:rFonts w:ascii="Calibri" w:cs="Calibri" w:eastAsia="Calibri" w:hAnsi="Calibri"/>
          <w:sz w:val="21"/>
          <w:szCs w:val="21"/>
        </w:rPr>
        <w:t xml:space="preserve">67. The Work Opportunity Tax Credit for Hiring From Targeted Groups</w:t>
      </w:r>
      <w:r>
        <w:rPr>
          <w:rFonts w:ascii="Calibri" w:cs="Calibri" w:eastAsia="Calibri" w:hAnsi="Calibri"/>
          <w:sz w:val="21"/>
          <w:szCs w:val="21"/>
        </w:rPr>
        <w:ptab w:alignment="right" w:relativeTo="margin" w:leader="dot"/>
        <w:t xml:space="preserve">135</w:t>
      </w:r>
    </w:p>
    <w:p>
      <w:pPr>
        <w:spacing w:after="100"/>
      </w:pPr>
      <w:r>
        <w:rPr>
          <w:rFonts w:ascii="Calibri" w:cs="Calibri" w:eastAsia="Calibri" w:hAnsi="Calibri"/>
          <w:sz w:val="21"/>
          <w:szCs w:val="21"/>
        </w:rPr>
        <w:t xml:space="preserve">68. Investing for Federal Tax Credits Through Low-Income Housing Syndication</w:t>
      </w:r>
      <w:r>
        <w:rPr>
          <w:rFonts w:ascii="Calibri" w:cs="Calibri" w:eastAsia="Calibri" w:hAnsi="Calibri"/>
          <w:sz w:val="21"/>
          <w:szCs w:val="21"/>
        </w:rPr>
        <w:ptab w:alignment="right" w:relativeTo="margin" w:leader="dot"/>
        <w:t xml:space="preserve">137</w:t>
      </w:r>
    </w:p>
    <w:p>
      <w:pPr>
        <w:spacing w:after="100"/>
      </w:pPr>
      <w:r>
        <w:rPr>
          <w:rFonts w:ascii="Calibri" w:cs="Calibri" w:eastAsia="Calibri" w:hAnsi="Calibri"/>
          <w:sz w:val="21"/>
          <w:szCs w:val="21"/>
        </w:rPr>
        <w:t xml:space="preserve">69. Energy-Efficient Building Deductions and Credits for New Construction</w:t>
      </w:r>
      <w:r>
        <w:rPr>
          <w:rFonts w:ascii="Calibri" w:cs="Calibri" w:eastAsia="Calibri" w:hAnsi="Calibri"/>
          <w:sz w:val="21"/>
          <w:szCs w:val="21"/>
        </w:rPr>
        <w:ptab w:alignment="right" w:relativeTo="margin" w:leader="dot"/>
        <w:t xml:space="preserve">139</w:t>
      </w:r>
    </w:p>
    <w:p>
      <w:pPr>
        <w:spacing w:after="100"/>
      </w:pPr>
      <w:r>
        <w:rPr>
          <w:rFonts w:ascii="Calibri" w:cs="Calibri" w:eastAsia="Calibri" w:hAnsi="Calibri"/>
          <w:sz w:val="21"/>
          <w:szCs w:val="21"/>
        </w:rPr>
        <w:t xml:space="preserve">70. The Federal Excise Tax Credit for Off-Highway Business Fuel Use</w:t>
      </w:r>
      <w:r>
        <w:rPr>
          <w:rFonts w:ascii="Calibri" w:cs="Calibri" w:eastAsia="Calibri" w:hAnsi="Calibri"/>
          <w:sz w:val="21"/>
          <w:szCs w:val="21"/>
        </w:rPr>
        <w:ptab w:alignment="right" w:relativeTo="margin" w:leader="dot"/>
        <w:t xml:space="preserve">141</w:t>
      </w:r>
    </w:p>
    <w:p>
      <w:pPr>
        <w:spacing w:after="100"/>
      </w:pPr>
      <w:r>
        <w:rPr>
          <w:rFonts w:ascii="Calibri" w:cs="Calibri" w:eastAsia="Calibri" w:hAnsi="Calibri"/>
          <w:sz w:val="21"/>
          <w:szCs w:val="21"/>
        </w:rPr>
        <w:t xml:space="preserve">71. Safe Harbor 401(k) with Cross-Tested Profit Sharing to Maximize Owner Contributions</w:t>
      </w:r>
      <w:r>
        <w:rPr>
          <w:rFonts w:ascii="Calibri" w:cs="Calibri" w:eastAsia="Calibri" w:hAnsi="Calibri"/>
          <w:sz w:val="21"/>
          <w:szCs w:val="21"/>
        </w:rPr>
        <w:ptab w:alignment="right" w:relativeTo="margin" w:leader="dot"/>
        <w:t xml:space="preserve">143</w:t>
      </w:r>
    </w:p>
    <w:p>
      <w:pPr>
        <w:spacing w:after="100"/>
      </w:pPr>
      <w:r>
        <w:rPr>
          <w:rFonts w:ascii="Calibri" w:cs="Calibri" w:eastAsia="Calibri" w:hAnsi="Calibri"/>
          <w:sz w:val="21"/>
          <w:szCs w:val="21"/>
        </w:rPr>
        <w:t xml:space="preserve">72. Small-Employer Retirement Plan Startup and Auto-Enrollment Tax Credits</w:t>
      </w:r>
      <w:r>
        <w:rPr>
          <w:rFonts w:ascii="Calibri" w:cs="Calibri" w:eastAsia="Calibri" w:hAnsi="Calibri"/>
          <w:sz w:val="21"/>
          <w:szCs w:val="21"/>
        </w:rPr>
        <w:ptab w:alignment="right" w:relativeTo="margin" w:leader="dot"/>
        <w:t xml:space="preserve">145</w:t>
      </w:r>
    </w:p>
    <w:p>
      <w:pPr>
        <w:spacing w:after="100"/>
      </w:pPr>
      <w:r>
        <w:rPr>
          <w:rFonts w:ascii="Calibri" w:cs="Calibri" w:eastAsia="Calibri" w:hAnsi="Calibri"/>
          <w:sz w:val="21"/>
          <w:szCs w:val="21"/>
        </w:rPr>
        <w:t xml:space="preserve">73. Curing a Late or Defective S-Corporation Election</w:t>
      </w:r>
      <w:r>
        <w:rPr>
          <w:rFonts w:ascii="Calibri" w:cs="Calibri" w:eastAsia="Calibri" w:hAnsi="Calibri"/>
          <w:sz w:val="21"/>
          <w:szCs w:val="21"/>
        </w:rPr>
        <w:ptab w:alignment="right" w:relativeTo="margin" w:leader="dot"/>
        <w:t xml:space="preserve">147</w:t>
      </w:r>
    </w:p>
    <w:p>
      <w:pPr>
        <w:spacing w:after="100"/>
      </w:pPr>
      <w:r>
        <w:rPr>
          <w:rFonts w:ascii="Calibri" w:cs="Calibri" w:eastAsia="Calibri" w:hAnsi="Calibri"/>
          <w:sz w:val="21"/>
          <w:szCs w:val="21"/>
        </w:rPr>
        <w:t xml:space="preserve">74. The Clean Vehicle Tax Credit for Business-Use Electric Vehicles</w:t>
      </w:r>
      <w:r>
        <w:rPr>
          <w:rFonts w:ascii="Calibri" w:cs="Calibri" w:eastAsia="Calibri" w:hAnsi="Calibri"/>
          <w:sz w:val="21"/>
          <w:szCs w:val="21"/>
        </w:rPr>
        <w:ptab w:alignment="right" w:relativeTo="margin" w:leader="dot"/>
        <w:t xml:space="preserve">149</w:t>
      </w:r>
    </w:p>
    <w:p>
      <w:pPr>
        <w:spacing w:after="100"/>
      </w:pPr>
      <w:r>
        <w:rPr>
          <w:rFonts w:ascii="Calibri" w:cs="Calibri" w:eastAsia="Calibri" w:hAnsi="Calibri"/>
          <w:sz w:val="21"/>
          <w:szCs w:val="21"/>
        </w:rPr>
        <w:t xml:space="preserve">75. Modeling State Decoupling Before Committing to a Bonus Depreciation Strategy</w:t>
      </w:r>
      <w:r>
        <w:rPr>
          <w:rFonts w:ascii="Calibri" w:cs="Calibri" w:eastAsia="Calibri" w:hAnsi="Calibri"/>
          <w:sz w:val="21"/>
          <w:szCs w:val="21"/>
        </w:rPr>
        <w:ptab w:alignment="right" w:relativeTo="margin" w:leader="dot"/>
        <w:t xml:space="preserve">151</w:t>
      </w:r>
    </w:p>
    <w:p>
      <w:pPr>
        <w:spacing w:after="100"/>
      </w:pPr>
      <w:r>
        <w:rPr>
          <w:rFonts w:ascii="Calibri" w:cs="Calibri" w:eastAsia="Calibri" w:hAnsi="Calibri"/>
          <w:sz w:val="21"/>
          <w:szCs w:val="21"/>
        </w:rPr>
        <w:t xml:space="preserve">76. Managing the Built-In Gains Tax When Converting a C-Corporation to an S-Corporation</w:t>
      </w:r>
      <w:r>
        <w:rPr>
          <w:rFonts w:ascii="Calibri" w:cs="Calibri" w:eastAsia="Calibri" w:hAnsi="Calibri"/>
          <w:sz w:val="21"/>
          <w:szCs w:val="21"/>
        </w:rPr>
        <w:ptab w:alignment="right" w:relativeTo="margin" w:leader="dot"/>
        <w:t xml:space="preserve">153</w:t>
      </w:r>
    </w:p>
    <w:p>
      <w:pPr>
        <w:spacing w:after="100"/>
      </w:pPr>
      <w:r>
        <w:rPr>
          <w:rFonts w:ascii="Calibri" w:cs="Calibri" w:eastAsia="Calibri" w:hAnsi="Calibri"/>
          <w:sz w:val="21"/>
          <w:szCs w:val="21"/>
        </w:rPr>
        <w:t xml:space="preserve">77. Complete Termination Stock Redemptions for Capital-Gain Buyout Treatment</w:t>
      </w:r>
      <w:r>
        <w:rPr>
          <w:rFonts w:ascii="Calibri" w:cs="Calibri" w:eastAsia="Calibri" w:hAnsi="Calibri"/>
          <w:sz w:val="21"/>
          <w:szCs w:val="21"/>
        </w:rPr>
        <w:ptab w:alignment="right" w:relativeTo="margin" w:leader="dot"/>
        <w:t xml:space="preserve">155</w:t>
      </w:r>
    </w:p>
    <w:p>
      <w:pPr>
        <w:spacing w:after="100"/>
      </w:pPr>
      <w:r>
        <w:rPr>
          <w:rFonts w:ascii="Calibri" w:cs="Calibri" w:eastAsia="Calibri" w:hAnsi="Calibri"/>
          <w:sz w:val="21"/>
          <w:szCs w:val="21"/>
        </w:rPr>
        <w:t xml:space="preserve">78. Trump Accounts for Tax-Deferred Savings on Behalf of a Child</w:t>
      </w:r>
      <w:r>
        <w:rPr>
          <w:rFonts w:ascii="Calibri" w:cs="Calibri" w:eastAsia="Calibri" w:hAnsi="Calibri"/>
          <w:sz w:val="21"/>
          <w:szCs w:val="21"/>
        </w:rPr>
        <w:ptab w:alignment="right" w:relativeTo="margin" w:leader="dot"/>
        <w:t xml:space="preserve">157</w:t>
      </w:r>
    </w:p>
    <w:p>
      <w:pPr>
        <w:spacing w:after="100"/>
      </w:pPr>
      <w:r>
        <w:rPr>
          <w:rFonts w:ascii="Calibri" w:cs="Calibri" w:eastAsia="Calibri" w:hAnsi="Calibri"/>
          <w:sz w:val="21"/>
          <w:szCs w:val="21"/>
        </w:rPr>
        <w:t xml:space="preserve">79. Modeling the QBI Cost Before Raising S-Corp Wages to Fund a Retirement Plan</w:t>
      </w:r>
      <w:r>
        <w:rPr>
          <w:rFonts w:ascii="Calibri" w:cs="Calibri" w:eastAsia="Calibri" w:hAnsi="Calibri"/>
          <w:sz w:val="21"/>
          <w:szCs w:val="21"/>
        </w:rPr>
        <w:ptab w:alignment="right" w:relativeTo="margin" w:leader="dot"/>
        <w:t xml:space="preserve">159</w:t>
      </w:r>
    </w:p>
    <w:p>
      <w:pPr>
        <w:spacing w:after="100"/>
      </w:pPr>
      <w:r>
        <w:rPr>
          <w:rFonts w:ascii="Calibri" w:cs="Calibri" w:eastAsia="Calibri" w:hAnsi="Calibri"/>
          <w:sz w:val="21"/>
          <w:szCs w:val="21"/>
        </w:rPr>
        <w:t xml:space="preserve">80. The Disabled Access Credit for Small Business Accessibility Improvements</w:t>
      </w:r>
      <w:r>
        <w:rPr>
          <w:rFonts w:ascii="Calibri" w:cs="Calibri" w:eastAsia="Calibri" w:hAnsi="Calibri"/>
          <w:sz w:val="21"/>
          <w:szCs w:val="21"/>
        </w:rPr>
        <w:ptab w:alignment="right" w:relativeTo="margin" w:leader="dot"/>
        <w:t xml:space="preserve">161</w:t>
      </w:r>
    </w:p>
    <w:p>
      <w:pPr>
        <w:spacing w:after="100"/>
      </w:pPr>
      <w:r>
        <w:rPr>
          <w:rFonts w:ascii="Calibri" w:cs="Calibri" w:eastAsia="Calibri" w:hAnsi="Calibri"/>
          <w:sz w:val="21"/>
          <w:szCs w:val="21"/>
        </w:rPr>
        <w:t xml:space="preserve">81. Employing Your Own Minor Children in the Family Business</w:t>
      </w:r>
      <w:r>
        <w:rPr>
          <w:rFonts w:ascii="Calibri" w:cs="Calibri" w:eastAsia="Calibri" w:hAnsi="Calibri"/>
          <w:sz w:val="21"/>
          <w:szCs w:val="21"/>
        </w:rPr>
        <w:ptab w:alignment="right" w:relativeTo="margin" w:leader="dot"/>
        <w:t xml:space="preserve">163</w:t>
      </w:r>
    </w:p>
    <w:p>
      <w:pPr>
        <w:spacing w:after="100"/>
      </w:pPr>
      <w:r>
        <w:rPr>
          <w:rFonts w:ascii="Calibri" w:cs="Calibri" w:eastAsia="Calibri" w:hAnsi="Calibri"/>
          <w:sz w:val="21"/>
          <w:szCs w:val="21"/>
        </w:rPr>
        <w:t xml:space="preserve">82. The De Minimis Safe Harbor Election for Immediately Expensing Low-Cost Purchases</w:t>
      </w:r>
      <w:r>
        <w:rPr>
          <w:rFonts w:ascii="Calibri" w:cs="Calibri" w:eastAsia="Calibri" w:hAnsi="Calibri"/>
          <w:sz w:val="21"/>
          <w:szCs w:val="21"/>
        </w:rPr>
        <w:ptab w:alignment="right" w:relativeTo="margin" w:leader="dot"/>
        <w:t xml:space="preserve">165</w:t>
      </w:r>
    </w:p>
    <w:p>
      <w:pPr>
        <w:spacing w:after="100"/>
      </w:pPr>
      <w:r>
        <w:rPr>
          <w:rFonts w:ascii="Calibri" w:cs="Calibri" w:eastAsia="Calibri" w:hAnsi="Calibri"/>
          <w:sz w:val="21"/>
          <w:szCs w:val="21"/>
        </w:rPr>
        <w:t xml:space="preserve">83. The ABLE Account for a Disabled Family Member's Tax-Advantaged Savings</w:t>
      </w:r>
      <w:r>
        <w:rPr>
          <w:rFonts w:ascii="Calibri" w:cs="Calibri" w:eastAsia="Calibri" w:hAnsi="Calibri"/>
          <w:sz w:val="21"/>
          <w:szCs w:val="21"/>
        </w:rPr>
        <w:ptab w:alignment="right" w:relativeTo="margin" w:leader="dot"/>
        <w:t xml:space="preserve">167</w:t>
      </w:r>
    </w:p>
    <w:p>
      <w:pPr>
        <w:spacing w:after="100"/>
      </w:pPr>
      <w:r>
        <w:rPr>
          <w:rFonts w:ascii="Calibri" w:cs="Calibri" w:eastAsia="Calibri" w:hAnsi="Calibri"/>
          <w:sz w:val="21"/>
          <w:szCs w:val="21"/>
        </w:rPr>
        <w:t xml:space="preserve">84. Timing Income and Gains Before a Move to a Higher-Tax State</w:t>
      </w:r>
      <w:r>
        <w:rPr>
          <w:rFonts w:ascii="Calibri" w:cs="Calibri" w:eastAsia="Calibri" w:hAnsi="Calibri"/>
          <w:sz w:val="21"/>
          <w:szCs w:val="21"/>
        </w:rPr>
        <w:ptab w:alignment="right" w:relativeTo="margin" w:leader="dot"/>
        <w:t xml:space="preserve">169</w:t>
      </w:r>
    </w:p>
    <w:p>
      <w:pPr>
        <w:spacing w:after="100"/>
      </w:pPr>
      <w:r>
        <w:rPr>
          <w:rFonts w:ascii="Calibri" w:cs="Calibri" w:eastAsia="Calibri" w:hAnsi="Calibri"/>
          <w:sz w:val="21"/>
          <w:szCs w:val="21"/>
        </w:rPr>
        <w:t xml:space="preserve">85. Using the Annualized Income Installment Method for Lumpy Income</w:t>
      </w:r>
      <w:r>
        <w:rPr>
          <w:rFonts w:ascii="Calibri" w:cs="Calibri" w:eastAsia="Calibri" w:hAnsi="Calibri"/>
          <w:sz w:val="21"/>
          <w:szCs w:val="21"/>
        </w:rPr>
        <w:ptab w:alignment="right" w:relativeTo="margin" w:leader="dot"/>
        <w:t xml:space="preserve">171</w:t>
      </w:r>
    </w:p>
    <w:p>
      <w:pPr>
        <w:spacing w:after="100"/>
      </w:pPr>
      <w:r>
        <w:rPr>
          <w:rFonts w:ascii="Calibri" w:cs="Calibri" w:eastAsia="Calibri" w:hAnsi="Calibri"/>
          <w:sz w:val="21"/>
          <w:szCs w:val="21"/>
        </w:rPr>
        <w:t xml:space="preserve">86. Claiming the Excess Social Security Tax Credit With Multiple Employers</w:t>
      </w:r>
      <w:r>
        <w:rPr>
          <w:rFonts w:ascii="Calibri" w:cs="Calibri" w:eastAsia="Calibri" w:hAnsi="Calibri"/>
          <w:sz w:val="21"/>
          <w:szCs w:val="21"/>
        </w:rPr>
        <w:ptab w:alignment="right" w:relativeTo="margin" w:leader="dot"/>
        <w:t xml:space="preserve">173</w:t>
      </w:r>
    </w:p>
    <w:p>
      <w:pPr>
        <w:spacing w:after="100"/>
      </w:pPr>
      <w:r>
        <w:rPr>
          <w:rFonts w:ascii="Calibri" w:cs="Calibri" w:eastAsia="Calibri" w:hAnsi="Calibri"/>
          <w:sz w:val="21"/>
          <w:szCs w:val="21"/>
        </w:rPr>
        <w:t xml:space="preserve">87. Separating Non-SSTB Revenue Into a New Entity to Preserve the QBI Deduction</w:t>
      </w:r>
      <w:r>
        <w:rPr>
          <w:rFonts w:ascii="Calibri" w:cs="Calibri" w:eastAsia="Calibri" w:hAnsi="Calibri"/>
          <w:sz w:val="21"/>
          <w:szCs w:val="21"/>
        </w:rPr>
        <w:ptab w:alignment="right" w:relativeTo="margin" w:leader="dot"/>
        <w:t xml:space="preserve">175</w:t>
      </w:r>
    </w:p>
    <w:p>
      <w:pPr>
        <w:spacing w:after="100"/>
      </w:pPr>
      <w:r>
        <w:rPr>
          <w:rFonts w:ascii="Calibri" w:cs="Calibri" w:eastAsia="Calibri" w:hAnsi="Calibri"/>
          <w:sz w:val="21"/>
          <w:szCs w:val="21"/>
        </w:rPr>
        <w:t xml:space="preserve">88. A Special Needs Trust to Provide for a Disabled Family Member</w:t>
      </w:r>
      <w:r>
        <w:rPr>
          <w:rFonts w:ascii="Calibri" w:cs="Calibri" w:eastAsia="Calibri" w:hAnsi="Calibri"/>
          <w:sz w:val="21"/>
          <w:szCs w:val="21"/>
        </w:rPr>
        <w:ptab w:alignment="right" w:relativeTo="margin" w:leader="dot"/>
        <w:t xml:space="preserve">177</w:t>
      </w:r>
    </w:p>
    <w:p>
      <w:pPr>
        <w:spacing w:after="100"/>
      </w:pPr>
      <w:r>
        <w:rPr>
          <w:rFonts w:ascii="Calibri" w:cs="Calibri" w:eastAsia="Calibri" w:hAnsi="Calibri"/>
          <w:sz w:val="21"/>
          <w:szCs w:val="21"/>
        </w:rPr>
        <w:t xml:space="preserve">89. The Employer-Provided Child Care Credit</w:t>
      </w:r>
      <w:r>
        <w:rPr>
          <w:rFonts w:ascii="Calibri" w:cs="Calibri" w:eastAsia="Calibri" w:hAnsi="Calibri"/>
          <w:sz w:val="21"/>
          <w:szCs w:val="21"/>
        </w:rPr>
        <w:ptab w:alignment="right" w:relativeTo="margin" w:leader="dot"/>
        <w:t xml:space="preserve">179</w:t>
      </w:r>
    </w:p>
    <w:p>
      <w:pPr>
        <w:spacing w:after="100"/>
      </w:pPr>
      <w:r>
        <w:rPr>
          <w:rFonts w:ascii="Calibri" w:cs="Calibri" w:eastAsia="Calibri" w:hAnsi="Calibri"/>
          <w:sz w:val="21"/>
          <w:szCs w:val="21"/>
        </w:rPr>
        <w:t xml:space="preserve">90. Net Operating Loss Carryforwards and Why They Don't Reduce Self-Employment Tax</w:t>
      </w:r>
      <w:r>
        <w:rPr>
          <w:rFonts w:ascii="Calibri" w:cs="Calibri" w:eastAsia="Calibri" w:hAnsi="Calibri"/>
          <w:sz w:val="21"/>
          <w:szCs w:val="21"/>
        </w:rPr>
        <w:ptab w:alignment="right" w:relativeTo="margin" w:leader="dot"/>
        <w:t xml:space="preserve">181</w:t>
      </w:r>
    </w:p>
    <w:p>
      <w:pPr>
        <w:spacing w:after="100"/>
      </w:pPr>
      <w:r>
        <w:rPr>
          <w:rFonts w:ascii="Calibri" w:cs="Calibri" w:eastAsia="Calibri" w:hAnsi="Calibri"/>
          <w:sz w:val="21"/>
          <w:szCs w:val="21"/>
        </w:rPr>
        <w:t xml:space="preserve">91. Filing a Superseding Return Instead of an Amended Return</w:t>
      </w:r>
      <w:r>
        <w:rPr>
          <w:rFonts w:ascii="Calibri" w:cs="Calibri" w:eastAsia="Calibri" w:hAnsi="Calibri"/>
          <w:sz w:val="21"/>
          <w:szCs w:val="21"/>
        </w:rPr>
        <w:ptab w:alignment="right" w:relativeTo="margin" w:leader="dot"/>
        <w:t xml:space="preserve">183</w:t>
      </w:r>
    </w:p>
    <w:p>
      <w:pPr>
        <w:spacing w:after="100"/>
      </w:pPr>
      <w:r>
        <w:rPr>
          <w:rFonts w:ascii="Calibri" w:cs="Calibri" w:eastAsia="Calibri" w:hAnsi="Calibri"/>
          <w:sz w:val="21"/>
          <w:szCs w:val="21"/>
        </w:rPr>
        <w:t xml:space="preserve">92. The §267 Related-Party Timing Rule and Retroactive Wage Deductions</w:t>
      </w:r>
      <w:r>
        <w:rPr>
          <w:rFonts w:ascii="Calibri" w:cs="Calibri" w:eastAsia="Calibri" w:hAnsi="Calibri"/>
          <w:sz w:val="21"/>
          <w:szCs w:val="21"/>
        </w:rPr>
        <w:ptab w:alignment="right" w:relativeTo="margin" w:leader="dot"/>
        <w:t xml:space="preserve">185</w:t>
      </w:r>
    </w:p>
    <w:p>
      <w:pPr>
        <w:spacing w:after="100"/>
      </w:pPr>
      <w:r>
        <w:rPr>
          <w:rFonts w:ascii="Calibri" w:cs="Calibri" w:eastAsia="Calibri" w:hAnsi="Calibri"/>
          <w:sz w:val="21"/>
          <w:szCs w:val="21"/>
        </w:rPr>
        <w:t xml:space="preserve">93. Controlled Group and Affiliated Service Group Rules for Multi-Entity Retirement Plans</w:t>
      </w:r>
      <w:r>
        <w:rPr>
          <w:rFonts w:ascii="Calibri" w:cs="Calibri" w:eastAsia="Calibri" w:hAnsi="Calibri"/>
          <w:sz w:val="21"/>
          <w:szCs w:val="21"/>
        </w:rPr>
        <w:ptab w:alignment="right" w:relativeTo="margin" w:leader="dot"/>
        <w:t xml:space="preserve">187</w:t>
      </w:r>
    </w:p>
    <w:p>
      <w:pPr>
        <w:spacing w:after="100"/>
      </w:pPr>
      <w:r>
        <w:rPr>
          <w:rFonts w:ascii="Calibri" w:cs="Calibri" w:eastAsia="Calibri" w:hAnsi="Calibri"/>
          <w:sz w:val="21"/>
          <w:szCs w:val="21"/>
        </w:rPr>
        <w:t xml:space="preserve">94. Partnership Loss Limitations Under §704(d) and Restoring Basis to Free Suspended Losses</w:t>
      </w:r>
      <w:r>
        <w:rPr>
          <w:rFonts w:ascii="Calibri" w:cs="Calibri" w:eastAsia="Calibri" w:hAnsi="Calibri"/>
          <w:sz w:val="21"/>
          <w:szCs w:val="21"/>
        </w:rPr>
        <w:ptab w:alignment="right" w:relativeTo="margin" w:leader="dot"/>
        <w:t xml:space="preserve">189</w:t>
      </w:r>
    </w:p>
    <w:p>
      <w:pPr>
        <w:spacing w:after="100"/>
      </w:pPr>
      <w:r>
        <w:rPr>
          <w:rFonts w:ascii="Calibri" w:cs="Calibri" w:eastAsia="Calibri" w:hAnsi="Calibri"/>
          <w:sz w:val="21"/>
          <w:szCs w:val="21"/>
        </w:rPr>
        <w:t xml:space="preserve">95. Claiming a Credit for Taxes Paid to Another State to Avoid Double Taxation</w:t>
      </w:r>
      <w:r>
        <w:rPr>
          <w:rFonts w:ascii="Calibri" w:cs="Calibri" w:eastAsia="Calibri" w:hAnsi="Calibri"/>
          <w:sz w:val="21"/>
          <w:szCs w:val="21"/>
        </w:rPr>
        <w:ptab w:alignment="right" w:relativeTo="margin" w:leader="dot"/>
        <w:t xml:space="preserve">191</w:t>
      </w:r>
    </w:p>
    <w:p>
      <w:pPr>
        <w:spacing w:after="100"/>
      </w:pPr>
      <w:r>
        <w:rPr>
          <w:rFonts w:ascii="Calibri" w:cs="Calibri" w:eastAsia="Calibri" w:hAnsi="Calibri"/>
          <w:sz w:val="21"/>
          <w:szCs w:val="21"/>
        </w:rPr>
        <w:t xml:space="preserve">96. Imputing AFR Interest on Below-Market Related-Party Loans</w:t>
      </w:r>
      <w:r>
        <w:rPr>
          <w:rFonts w:ascii="Calibri" w:cs="Calibri" w:eastAsia="Calibri" w:hAnsi="Calibri"/>
          <w:sz w:val="21"/>
          <w:szCs w:val="21"/>
        </w:rPr>
        <w:ptab w:alignment="right" w:relativeTo="margin" w:leader="dot"/>
        <w:t xml:space="preserve">193</w:t>
      </w:r>
    </w:p>
    <w:p>
      <w:pPr>
        <w:spacing w:after="100"/>
      </w:pPr>
      <w:r>
        <w:rPr>
          <w:rFonts w:ascii="Calibri" w:cs="Calibri" w:eastAsia="Calibri" w:hAnsi="Calibri"/>
          <w:sz w:val="21"/>
          <w:szCs w:val="21"/>
        </w:rPr>
        <w:t xml:space="preserve">97. Related-Party Property Purchases Disqualify Bonus Depreciation and §179, Even Through an LLC Wrapper</w:t>
      </w:r>
      <w:r>
        <w:rPr>
          <w:rFonts w:ascii="Calibri" w:cs="Calibri" w:eastAsia="Calibri" w:hAnsi="Calibri"/>
          <w:sz w:val="21"/>
          <w:szCs w:val="21"/>
        </w:rPr>
        <w:ptab w:alignment="right" w:relativeTo="margin" w:leader="dot"/>
        <w:t xml:space="preserve">195</w:t>
      </w:r>
    </w:p>
    <w:p>
      <w:pPr>
        <w:spacing w:after="100"/>
      </w:pPr>
      <w:r>
        <w:rPr>
          <w:rFonts w:ascii="Calibri" w:cs="Calibri" w:eastAsia="Calibri" w:hAnsi="Calibri"/>
          <w:sz w:val="21"/>
          <w:szCs w:val="21"/>
        </w:rPr>
        <w:t xml:space="preserve">98. Why an S-Corporation Owner-Employee Must Be Paid on a W-2, Not as a 1099 Contractor</w:t>
      </w:r>
      <w:r>
        <w:rPr>
          <w:rFonts w:ascii="Calibri" w:cs="Calibri" w:eastAsia="Calibri" w:hAnsi="Calibri"/>
          <w:sz w:val="21"/>
          <w:szCs w:val="21"/>
        </w:rPr>
        <w:ptab w:alignment="right" w:relativeTo="margin" w:leader="dot"/>
        <w:t xml:space="preserve">197</w:t>
      </w:r>
    </w:p>
    <w:p>
      <w:pPr>
        <w:spacing w:after="100"/>
      </w:pPr>
      <w:r>
        <w:rPr>
          <w:rFonts w:ascii="Calibri" w:cs="Calibri" w:eastAsia="Calibri" w:hAnsi="Calibri"/>
          <w:sz w:val="21"/>
          <w:szCs w:val="21"/>
        </w:rPr>
        <w:t xml:space="preserve">99. The Combined 401(k) Employee Deferral Limit Applies Across Traditional and Roth Contributions</w:t>
      </w:r>
      <w:r>
        <w:rPr>
          <w:rFonts w:ascii="Calibri" w:cs="Calibri" w:eastAsia="Calibri" w:hAnsi="Calibri"/>
          <w:sz w:val="21"/>
          <w:szCs w:val="21"/>
        </w:rPr>
        <w:ptab w:alignment="right" w:relativeTo="margin" w:leader="dot"/>
        <w:t xml:space="preserve">199</w:t>
      </w:r>
    </w:p>
    <w:p>
      <w:pPr>
        <w:spacing w:after="100"/>
      </w:pPr>
      <w:r>
        <w:rPr>
          <w:rFonts w:ascii="Calibri" w:cs="Calibri" w:eastAsia="Calibri" w:hAnsi="Calibri"/>
          <w:sz w:val="21"/>
          <w:szCs w:val="21"/>
        </w:rPr>
        <w:t xml:space="preserve">100. Negotiating the Purchase-Price Allocation (Form 8594) to Maximize Capital-Gain Treatment on a Business Sale</w:t>
      </w:r>
      <w:r>
        <w:rPr>
          <w:rFonts w:ascii="Calibri" w:cs="Calibri" w:eastAsia="Calibri" w:hAnsi="Calibri"/>
          <w:sz w:val="21"/>
          <w:szCs w:val="21"/>
        </w:rPr>
        <w:ptab w:alignment="right" w:relativeTo="margin" w:leader="dot"/>
        <w:t xml:space="preserve">201</w:t>
      </w:r>
    </w:p>
    <w:p>
      <w:pPr>
        <w:spacing w:after="100"/>
      </w:pPr>
      <w:r>
        <w:rPr>
          <w:rFonts w:ascii="Calibri" w:cs="Calibri" w:eastAsia="Calibri" w:hAnsi="Calibri"/>
          <w:sz w:val="21"/>
          <w:szCs w:val="21"/>
        </w:rPr>
        <w:t xml:space="preserve">101. Adopting a Retroactive Retirement Plan by the Extended Filing Deadline (SECURE 2.0)</w:t>
      </w:r>
      <w:r>
        <w:rPr>
          <w:rFonts w:ascii="Calibri" w:cs="Calibri" w:eastAsia="Calibri" w:hAnsi="Calibri"/>
          <w:sz w:val="21"/>
          <w:szCs w:val="21"/>
        </w:rPr>
        <w:ptab w:alignment="right" w:relativeTo="margin" w:leader="dot"/>
        <w:t xml:space="preserve">203</w:t>
      </w:r>
    </w:p>
    <w:p>
      <w:r>
        <w:br w:type="page"/>
      </w:r>
    </w:p>
    <w:p>
      <w:pPr>
        <w:spacing w:after="100"/>
      </w:pPr>
      <w:r>
        <w:rPr>
          <w:rFonts w:ascii="Calibri" w:cs="Calibri" w:eastAsia="Calibri" w:hAnsi="Calibri"/>
          <w:b/>
          <w:bCs/>
          <w:color w:val="1F3864"/>
          <w:sz w:val="28"/>
          <w:szCs w:val="28"/>
        </w:rPr>
        <w:t xml:space="preserve">Index by Entity / Topic</w:t>
      </w:r>
    </w:p>
    <w:p>
      <w:pPr>
        <w:spacing w:after="220"/>
      </w:pPr>
      <w:r>
        <w:rPr>
          <w:rFonts w:ascii="Calibri" w:cs="Calibri" w:eastAsia="Calibri" w:hAnsi="Calibri"/>
          <w:i/>
          <w:iCs/>
          <w:color w:val="595959"/>
          <w:sz w:val="20"/>
          <w:szCs w:val="20"/>
        </w:rPr>
        <w:t xml:space="preserve">Many strategies apply to more than one entity type and appear in multiple lists below.</w:t>
      </w:r>
    </w:p>
    <w:p>
      <w:pPr>
        <w:pStyle w:val="Heading2"/>
        <w:spacing w:after="80" w:before="200"/>
      </w:pPr>
      <w:r>
        <w:rPr>
          <w:rFonts w:ascii="Calibri" w:cs="Calibri" w:eastAsia="Calibri" w:hAnsi="Calibri"/>
          <w:b/>
          <w:bCs/>
          <w:color w:val="2E5496"/>
          <w:sz w:val="24"/>
          <w:szCs w:val="24"/>
        </w:rPr>
        <w:t xml:space="preserve">S-Corporation</w:t>
      </w:r>
    </w:p>
    <w:p>
      <w:pPr>
        <w:pStyle w:val="ListParagraph"/>
        <w:numPr>
          <w:ilvl w:val="0"/>
          <w:numId w:val="2"/>
        </w:numPr>
        <w:spacing w:after="60" w:line="276"/>
      </w:pPr>
      <w:r>
        <w:rPr>
          <w:rFonts w:ascii="Calibri" w:cs="Calibri" w:eastAsia="Calibri" w:hAnsi="Calibri"/>
          <w:sz w:val="21"/>
          <w:szCs w:val="21"/>
        </w:rPr>
        <w:t xml:space="preserve">1. Reasonable Compensation for S-Corporation Owners</w:t>
      </w:r>
    </w:p>
    <w:p>
      <w:pPr>
        <w:pStyle w:val="ListParagraph"/>
        <w:numPr>
          <w:ilvl w:val="0"/>
          <w:numId w:val="2"/>
        </w:numPr>
        <w:spacing w:after="60" w:line="276"/>
      </w:pPr>
      <w:r>
        <w:rPr>
          <w:rFonts w:ascii="Calibri" w:cs="Calibri" w:eastAsia="Calibri" w:hAnsi="Calibri"/>
          <w:sz w:val="21"/>
          <w:szCs w:val="21"/>
        </w:rPr>
        <w:t xml:space="preserve">5. Home Office Reimbursement Through an Accountable Plan</w:t>
      </w:r>
    </w:p>
    <w:p>
      <w:pPr>
        <w:pStyle w:val="ListParagraph"/>
        <w:numPr>
          <w:ilvl w:val="0"/>
          <w:numId w:val="2"/>
        </w:numPr>
        <w:spacing w:after="60" w:line="276"/>
      </w:pPr>
      <w:r>
        <w:rPr>
          <w:rFonts w:ascii="Calibri" w:cs="Calibri" w:eastAsia="Calibri" w:hAnsi="Calibri"/>
          <w:sz w:val="21"/>
          <w:szCs w:val="21"/>
        </w:rPr>
        <w:t xml:space="preserve">6. The Augusta Rule: Tax-Free Short-Term Rental of a Personal Residence to One’s Own Business</w:t>
      </w:r>
    </w:p>
    <w:p>
      <w:pPr>
        <w:pStyle w:val="ListParagraph"/>
        <w:numPr>
          <w:ilvl w:val="0"/>
          <w:numId w:val="2"/>
        </w:numPr>
        <w:spacing w:after="60" w:line="276"/>
      </w:pPr>
      <w:r>
        <w:rPr>
          <w:rFonts w:ascii="Calibri" w:cs="Calibri" w:eastAsia="Calibri" w:hAnsi="Calibri"/>
          <w:sz w:val="21"/>
          <w:szCs w:val="21"/>
        </w:rPr>
        <w:t xml:space="preserve">7. The Pass-Through Entity Tax (PTET) Election to Work Around the SALT Deduction Cap</w:t>
      </w:r>
    </w:p>
    <w:p>
      <w:pPr>
        <w:pStyle w:val="ListParagraph"/>
        <w:numPr>
          <w:ilvl w:val="0"/>
          <w:numId w:val="2"/>
        </w:numPr>
        <w:spacing w:after="60" w:line="276"/>
      </w:pPr>
      <w:r>
        <w:rPr>
          <w:rFonts w:ascii="Calibri" w:cs="Calibri" w:eastAsia="Calibri" w:hAnsi="Calibri"/>
          <w:sz w:val="21"/>
          <w:szCs w:val="21"/>
        </w:rPr>
        <w:t xml:space="preserve">8. Using a Qualified Subchapter S Subsidiary (QSub) to Add a New, Related Business Line</w:t>
      </w:r>
    </w:p>
    <w:p>
      <w:pPr>
        <w:pStyle w:val="ListParagraph"/>
        <w:numPr>
          <w:ilvl w:val="0"/>
          <w:numId w:val="2"/>
        </w:numPr>
        <w:spacing w:after="60" w:line="276"/>
      </w:pPr>
      <w:r>
        <w:rPr>
          <w:rFonts w:ascii="Calibri" w:cs="Calibri" w:eastAsia="Calibri" w:hAnsi="Calibri"/>
          <w:sz w:val="21"/>
          <w:szCs w:val="21"/>
        </w:rPr>
        <w:t xml:space="preserve">17. Timing the S-Corporation Election to Its Breakeven Point</w:t>
      </w:r>
    </w:p>
    <w:p>
      <w:pPr>
        <w:pStyle w:val="ListParagraph"/>
        <w:numPr>
          <w:ilvl w:val="0"/>
          <w:numId w:val="2"/>
        </w:numPr>
        <w:spacing w:after="60" w:line="276"/>
      </w:pPr>
      <w:r>
        <w:rPr>
          <w:rFonts w:ascii="Calibri" w:cs="Calibri" w:eastAsia="Calibri" w:hAnsi="Calibri"/>
          <w:sz w:val="21"/>
          <w:szCs w:val="21"/>
        </w:rPr>
        <w:t xml:space="preserve">32. Distributing S-Corporation Earnings Before Converting to a C-Corporation</w:t>
      </w:r>
    </w:p>
    <w:p>
      <w:pPr>
        <w:pStyle w:val="ListParagraph"/>
        <w:numPr>
          <w:ilvl w:val="0"/>
          <w:numId w:val="2"/>
        </w:numPr>
        <w:spacing w:after="60" w:line="276"/>
      </w:pPr>
      <w:r>
        <w:rPr>
          <w:rFonts w:ascii="Calibri" w:cs="Calibri" w:eastAsia="Calibri" w:hAnsi="Calibri"/>
          <w:sz w:val="21"/>
          <w:szCs w:val="21"/>
        </w:rPr>
        <w:t xml:space="preserve">33. Maximizing the Qualified Business Income (QBI) Deduction Through a Wage True-Up</w:t>
      </w:r>
    </w:p>
    <w:p>
      <w:pPr>
        <w:pStyle w:val="ListParagraph"/>
        <w:numPr>
          <w:ilvl w:val="0"/>
          <w:numId w:val="2"/>
        </w:numPr>
        <w:spacing w:after="60" w:line="276"/>
      </w:pPr>
      <w:r>
        <w:rPr>
          <w:rFonts w:ascii="Calibri" w:cs="Calibri" w:eastAsia="Calibri" w:hAnsi="Calibri"/>
          <w:sz w:val="21"/>
          <w:szCs w:val="21"/>
        </w:rPr>
        <w:t xml:space="preserve">44. The § 475(f) Mark-to-Market Election for Active Traders</w:t>
      </w:r>
    </w:p>
    <w:p>
      <w:pPr>
        <w:pStyle w:val="ListParagraph"/>
        <w:numPr>
          <w:ilvl w:val="0"/>
          <w:numId w:val="2"/>
        </w:numPr>
        <w:spacing w:after="60" w:line="276"/>
      </w:pPr>
      <w:r>
        <w:rPr>
          <w:rFonts w:ascii="Calibri" w:cs="Calibri" w:eastAsia="Calibri" w:hAnsi="Calibri"/>
          <w:sz w:val="21"/>
          <w:szCs w:val="21"/>
        </w:rPr>
        <w:t xml:space="preserve">47. The Specified Service Trade or Business (SSTB) Exclusion from the QBI Deduction</w:t>
      </w:r>
    </w:p>
    <w:p>
      <w:pPr>
        <w:pStyle w:val="ListParagraph"/>
        <w:numPr>
          <w:ilvl w:val="0"/>
          <w:numId w:val="2"/>
        </w:numPr>
        <w:spacing w:after="60" w:line="276"/>
      </w:pPr>
      <w:r>
        <w:rPr>
          <w:rFonts w:ascii="Calibri" w:cs="Calibri" w:eastAsia="Calibri" w:hAnsi="Calibri"/>
          <w:sz w:val="21"/>
          <w:szCs w:val="21"/>
        </w:rPr>
        <w:t xml:space="preserve">48. S-Corporation Shareholder Basis and the Excess-Distribution Trap (Form 7203)</w:t>
      </w:r>
    </w:p>
    <w:p>
      <w:pPr>
        <w:pStyle w:val="ListParagraph"/>
        <w:numPr>
          <w:ilvl w:val="0"/>
          <w:numId w:val="2"/>
        </w:numPr>
        <w:spacing w:after="60" w:line="276"/>
      </w:pPr>
      <w:r>
        <w:rPr>
          <w:rFonts w:ascii="Calibri" w:cs="Calibri" w:eastAsia="Calibri" w:hAnsi="Calibri"/>
          <w:sz w:val="21"/>
          <w:szCs w:val="21"/>
        </w:rPr>
        <w:t xml:space="preserve">53. Aggregating Multiple Businesses for the QBI Wage Limitation (§ 1.199A-4)</w:t>
      </w:r>
    </w:p>
    <w:p>
      <w:pPr>
        <w:pStyle w:val="ListParagraph"/>
        <w:numPr>
          <w:ilvl w:val="0"/>
          <w:numId w:val="2"/>
        </w:numPr>
        <w:spacing w:after="60" w:line="276"/>
      </w:pPr>
      <w:r>
        <w:rPr>
          <w:rFonts w:ascii="Calibri" w:cs="Calibri" w:eastAsia="Calibri" w:hAnsi="Calibri"/>
          <w:sz w:val="21"/>
          <w:szCs w:val="21"/>
        </w:rPr>
        <w:t xml:space="preserve">57. QSEHRA: A Health Reimbursement Arrangement for Small Employers Without a Group Plan</w:t>
      </w:r>
    </w:p>
    <w:p>
      <w:pPr>
        <w:pStyle w:val="ListParagraph"/>
        <w:numPr>
          <w:ilvl w:val="0"/>
          <w:numId w:val="2"/>
        </w:numPr>
        <w:spacing w:after="60" w:line="276"/>
      </w:pPr>
      <w:r>
        <w:rPr>
          <w:rFonts w:ascii="Calibri" w:cs="Calibri" w:eastAsia="Calibri" w:hAnsi="Calibri"/>
          <w:sz w:val="21"/>
          <w:szCs w:val="21"/>
        </w:rPr>
        <w:t xml:space="preserve">58. The § 162(l) Self-Employed Health Insurance Deduction for &gt;2% S-Corp Shareholders</w:t>
      </w:r>
    </w:p>
    <w:p>
      <w:pPr>
        <w:pStyle w:val="ListParagraph"/>
        <w:numPr>
          <w:ilvl w:val="0"/>
          <w:numId w:val="2"/>
        </w:numPr>
        <w:spacing w:after="60" w:line="276"/>
      </w:pPr>
      <w:r>
        <w:rPr>
          <w:rFonts w:ascii="Calibri" w:cs="Calibri" w:eastAsia="Calibri" w:hAnsi="Calibri"/>
          <w:sz w:val="21"/>
          <w:szCs w:val="21"/>
        </w:rPr>
        <w:t xml:space="preserve">73. Curing a Late or Defective S-Corporation Election</w:t>
      </w:r>
    </w:p>
    <w:p>
      <w:pPr>
        <w:pStyle w:val="ListParagraph"/>
        <w:numPr>
          <w:ilvl w:val="0"/>
          <w:numId w:val="2"/>
        </w:numPr>
        <w:spacing w:after="60" w:line="276"/>
      </w:pPr>
      <w:r>
        <w:rPr>
          <w:rFonts w:ascii="Calibri" w:cs="Calibri" w:eastAsia="Calibri" w:hAnsi="Calibri"/>
          <w:sz w:val="21"/>
          <w:szCs w:val="21"/>
        </w:rPr>
        <w:t xml:space="preserve">76. Managing the Built-In Gains Tax When Converting a C-Corporation to an S-Corporation</w:t>
      </w:r>
    </w:p>
    <w:p>
      <w:pPr>
        <w:pStyle w:val="ListParagraph"/>
        <w:numPr>
          <w:ilvl w:val="0"/>
          <w:numId w:val="2"/>
        </w:numPr>
        <w:spacing w:after="60" w:line="276"/>
      </w:pPr>
      <w:r>
        <w:rPr>
          <w:rFonts w:ascii="Calibri" w:cs="Calibri" w:eastAsia="Calibri" w:hAnsi="Calibri"/>
          <w:sz w:val="21"/>
          <w:szCs w:val="21"/>
        </w:rPr>
        <w:t xml:space="preserve">77. Complete Termination Stock Redemptions for Capital-Gain Buyout Treatment</w:t>
      </w:r>
    </w:p>
    <w:p>
      <w:pPr>
        <w:pStyle w:val="ListParagraph"/>
        <w:numPr>
          <w:ilvl w:val="0"/>
          <w:numId w:val="2"/>
        </w:numPr>
        <w:spacing w:after="60" w:line="276"/>
      </w:pPr>
      <w:r>
        <w:rPr>
          <w:rFonts w:ascii="Calibri" w:cs="Calibri" w:eastAsia="Calibri" w:hAnsi="Calibri"/>
          <w:sz w:val="21"/>
          <w:szCs w:val="21"/>
        </w:rPr>
        <w:t xml:space="preserve">79. Modeling the QBI Cost Before Raising S-Corp Wages to Fund a Retirement Plan</w:t>
      </w:r>
    </w:p>
    <w:p>
      <w:pPr>
        <w:pStyle w:val="ListParagraph"/>
        <w:numPr>
          <w:ilvl w:val="0"/>
          <w:numId w:val="2"/>
        </w:numPr>
        <w:spacing w:after="60" w:line="276"/>
      </w:pPr>
      <w:r>
        <w:rPr>
          <w:rFonts w:ascii="Calibri" w:cs="Calibri" w:eastAsia="Calibri" w:hAnsi="Calibri"/>
          <w:sz w:val="21"/>
          <w:szCs w:val="21"/>
        </w:rPr>
        <w:t xml:space="preserve">87. Separating Non-SSTB Revenue Into a New Entity to Preserve the QBI Deduction</w:t>
      </w:r>
    </w:p>
    <w:p>
      <w:pPr>
        <w:pStyle w:val="ListParagraph"/>
        <w:numPr>
          <w:ilvl w:val="0"/>
          <w:numId w:val="2"/>
        </w:numPr>
        <w:spacing w:after="60" w:line="276"/>
      </w:pPr>
      <w:r>
        <w:rPr>
          <w:rFonts w:ascii="Calibri" w:cs="Calibri" w:eastAsia="Calibri" w:hAnsi="Calibri"/>
          <w:sz w:val="21"/>
          <w:szCs w:val="21"/>
        </w:rPr>
        <w:t xml:space="preserve">92. The §267 Related-Party Timing Rule and Retroactive Wage Deductions</w:t>
      </w:r>
    </w:p>
    <w:p>
      <w:pPr>
        <w:pStyle w:val="ListParagraph"/>
        <w:numPr>
          <w:ilvl w:val="0"/>
          <w:numId w:val="2"/>
        </w:numPr>
        <w:spacing w:after="60" w:line="276"/>
      </w:pPr>
      <w:r>
        <w:rPr>
          <w:rFonts w:ascii="Calibri" w:cs="Calibri" w:eastAsia="Calibri" w:hAnsi="Calibri"/>
          <w:sz w:val="21"/>
          <w:szCs w:val="21"/>
        </w:rPr>
        <w:t xml:space="preserve">98. Why an S-Corporation Owner-Employee Must Be Paid on a W-2, Not as a 1099 Contractor</w:t>
      </w:r>
    </w:p>
    <w:p>
      <w:pPr>
        <w:pStyle w:val="Heading2"/>
        <w:spacing w:after="80" w:before="200"/>
      </w:pPr>
      <w:r>
        <w:rPr>
          <w:rFonts w:ascii="Calibri" w:cs="Calibri" w:eastAsia="Calibri" w:hAnsi="Calibri"/>
          <w:b/>
          <w:bCs/>
          <w:color w:val="2E5496"/>
          <w:sz w:val="24"/>
          <w:szCs w:val="24"/>
        </w:rPr>
        <w:t xml:space="preserve">Retirement Planning</w:t>
      </w:r>
    </w:p>
    <w:p>
      <w:pPr>
        <w:pStyle w:val="ListParagraph"/>
        <w:numPr>
          <w:ilvl w:val="0"/>
          <w:numId w:val="2"/>
        </w:numPr>
        <w:spacing w:after="60" w:line="276"/>
      </w:pPr>
      <w:r>
        <w:rPr>
          <w:rFonts w:ascii="Calibri" w:cs="Calibri" w:eastAsia="Calibri" w:hAnsi="Calibri"/>
          <w:sz w:val="21"/>
          <w:szCs w:val="21"/>
        </w:rPr>
        <w:t xml:space="preserve">2. Cash-Balance Defined-Benefit Retirement Plans for Owner-Heavy Businesses</w:t>
      </w:r>
    </w:p>
    <w:p>
      <w:pPr>
        <w:pStyle w:val="ListParagraph"/>
        <w:numPr>
          <w:ilvl w:val="0"/>
          <w:numId w:val="2"/>
        </w:numPr>
        <w:spacing w:after="60" w:line="276"/>
      </w:pPr>
      <w:r>
        <w:rPr>
          <w:rFonts w:ascii="Calibri" w:cs="Calibri" w:eastAsia="Calibri" w:hAnsi="Calibri"/>
          <w:sz w:val="21"/>
          <w:szCs w:val="21"/>
        </w:rPr>
        <w:t xml:space="preserve">21. The Backdoor Roth IRA for High-Income Earners</w:t>
      </w:r>
    </w:p>
    <w:p>
      <w:pPr>
        <w:pStyle w:val="ListParagraph"/>
        <w:numPr>
          <w:ilvl w:val="0"/>
          <w:numId w:val="2"/>
        </w:numPr>
        <w:spacing w:after="60" w:line="276"/>
      </w:pPr>
      <w:r>
        <w:rPr>
          <w:rFonts w:ascii="Calibri" w:cs="Calibri" w:eastAsia="Calibri" w:hAnsi="Calibri"/>
          <w:sz w:val="21"/>
          <w:szCs w:val="21"/>
        </w:rPr>
        <w:t xml:space="preserve">22. The Mega-Backdoor Roth 401(k) Strategy</w:t>
      </w:r>
    </w:p>
    <w:p>
      <w:pPr>
        <w:pStyle w:val="ListParagraph"/>
        <w:numPr>
          <w:ilvl w:val="0"/>
          <w:numId w:val="2"/>
        </w:numPr>
        <w:spacing w:after="60" w:line="276"/>
      </w:pPr>
      <w:r>
        <w:rPr>
          <w:rFonts w:ascii="Calibri" w:cs="Calibri" w:eastAsia="Calibri" w:hAnsi="Calibri"/>
          <w:sz w:val="21"/>
          <w:szCs w:val="21"/>
        </w:rPr>
        <w:t xml:space="preserve">60. Investing Through a Self-Directed Roth IRA in a Private Business</w:t>
      </w:r>
    </w:p>
    <w:p>
      <w:pPr>
        <w:pStyle w:val="ListParagraph"/>
        <w:numPr>
          <w:ilvl w:val="0"/>
          <w:numId w:val="2"/>
        </w:numPr>
        <w:spacing w:after="60" w:line="276"/>
      </w:pPr>
      <w:r>
        <w:rPr>
          <w:rFonts w:ascii="Calibri" w:cs="Calibri" w:eastAsia="Calibri" w:hAnsi="Calibri"/>
          <w:sz w:val="21"/>
          <w:szCs w:val="21"/>
        </w:rPr>
        <w:t xml:space="preserve">71. Safe Harbor 401(k) with Cross-Tested Profit Sharing to Maximize Owner Contributions</w:t>
      </w:r>
    </w:p>
    <w:p>
      <w:pPr>
        <w:pStyle w:val="ListParagraph"/>
        <w:numPr>
          <w:ilvl w:val="0"/>
          <w:numId w:val="2"/>
        </w:numPr>
        <w:spacing w:after="60" w:line="276"/>
      </w:pPr>
      <w:r>
        <w:rPr>
          <w:rFonts w:ascii="Calibri" w:cs="Calibri" w:eastAsia="Calibri" w:hAnsi="Calibri"/>
          <w:sz w:val="21"/>
          <w:szCs w:val="21"/>
        </w:rPr>
        <w:t xml:space="preserve">72. Small-Employer Retirement Plan Startup and Auto-Enrollment Tax Credits</w:t>
      </w:r>
    </w:p>
    <w:p>
      <w:pPr>
        <w:pStyle w:val="ListParagraph"/>
        <w:numPr>
          <w:ilvl w:val="0"/>
          <w:numId w:val="2"/>
        </w:numPr>
        <w:spacing w:after="60" w:line="276"/>
      </w:pPr>
      <w:r>
        <w:rPr>
          <w:rFonts w:ascii="Calibri" w:cs="Calibri" w:eastAsia="Calibri" w:hAnsi="Calibri"/>
          <w:sz w:val="21"/>
          <w:szCs w:val="21"/>
        </w:rPr>
        <w:t xml:space="preserve">79. Modeling the QBI Cost Before Raising S-Corp Wages to Fund a Retirement Plan</w:t>
      </w:r>
    </w:p>
    <w:p>
      <w:pPr>
        <w:pStyle w:val="ListParagraph"/>
        <w:numPr>
          <w:ilvl w:val="0"/>
          <w:numId w:val="2"/>
        </w:numPr>
        <w:spacing w:after="60" w:line="276"/>
      </w:pPr>
      <w:r>
        <w:rPr>
          <w:rFonts w:ascii="Calibri" w:cs="Calibri" w:eastAsia="Calibri" w:hAnsi="Calibri"/>
          <w:sz w:val="21"/>
          <w:szCs w:val="21"/>
        </w:rPr>
        <w:t xml:space="preserve">93. Controlled Group and Affiliated Service Group Rules for Multi-Entity Retirement Plans</w:t>
      </w:r>
    </w:p>
    <w:p>
      <w:pPr>
        <w:pStyle w:val="Heading2"/>
        <w:spacing w:after="80" w:before="200"/>
      </w:pPr>
      <w:r>
        <w:rPr>
          <w:rFonts w:ascii="Calibri" w:cs="Calibri" w:eastAsia="Calibri" w:hAnsi="Calibri"/>
          <w:b/>
          <w:bCs/>
          <w:color w:val="2E5496"/>
          <w:sz w:val="24"/>
          <w:szCs w:val="24"/>
        </w:rPr>
        <w:t xml:space="preserve">Cross-Entity / General Business</w:t>
      </w:r>
    </w:p>
    <w:p>
      <w:pPr>
        <w:pStyle w:val="ListParagraph"/>
        <w:numPr>
          <w:ilvl w:val="0"/>
          <w:numId w:val="2"/>
        </w:numPr>
        <w:spacing w:after="60" w:line="276"/>
      </w:pPr>
      <w:r>
        <w:rPr>
          <w:rFonts w:ascii="Calibri" w:cs="Calibri" w:eastAsia="Calibri" w:hAnsi="Calibri"/>
          <w:sz w:val="21"/>
          <w:szCs w:val="21"/>
        </w:rPr>
        <w:t xml:space="preserve">2. Cash-Balance Defined-Benefit Retirement Plans for Owner-Heavy Businesses</w:t>
      </w:r>
    </w:p>
    <w:p>
      <w:pPr>
        <w:pStyle w:val="ListParagraph"/>
        <w:numPr>
          <w:ilvl w:val="0"/>
          <w:numId w:val="2"/>
        </w:numPr>
        <w:spacing w:after="60" w:line="276"/>
      </w:pPr>
      <w:r>
        <w:rPr>
          <w:rFonts w:ascii="Calibri" w:cs="Calibri" w:eastAsia="Calibri" w:hAnsi="Calibri"/>
          <w:sz w:val="21"/>
          <w:szCs w:val="21"/>
        </w:rPr>
        <w:t xml:space="preserve">4. Correcting Misclassified Fixed Assets with a Change in Accounting Method (Form 3115)</w:t>
      </w:r>
    </w:p>
    <w:p>
      <w:pPr>
        <w:pStyle w:val="ListParagraph"/>
        <w:numPr>
          <w:ilvl w:val="0"/>
          <w:numId w:val="2"/>
        </w:numPr>
        <w:spacing w:after="60" w:line="276"/>
      </w:pPr>
      <w:r>
        <w:rPr>
          <w:rFonts w:ascii="Calibri" w:cs="Calibri" w:eastAsia="Calibri" w:hAnsi="Calibri"/>
          <w:sz w:val="21"/>
          <w:szCs w:val="21"/>
        </w:rPr>
        <w:t xml:space="preserve">12. Holding Third-Party Funds as Agent Rather Than as Business Income</w:t>
      </w:r>
    </w:p>
    <w:p>
      <w:pPr>
        <w:pStyle w:val="ListParagraph"/>
        <w:numPr>
          <w:ilvl w:val="0"/>
          <w:numId w:val="2"/>
        </w:numPr>
        <w:spacing w:after="60" w:line="276"/>
      </w:pPr>
      <w:r>
        <w:rPr>
          <w:rFonts w:ascii="Calibri" w:cs="Calibri" w:eastAsia="Calibri" w:hAnsi="Calibri"/>
          <w:sz w:val="21"/>
          <w:szCs w:val="21"/>
        </w:rPr>
        <w:t xml:space="preserve">13. Documenting Intercompany Charges Between Related Entities</w:t>
      </w:r>
    </w:p>
    <w:p>
      <w:pPr>
        <w:pStyle w:val="ListParagraph"/>
        <w:numPr>
          <w:ilvl w:val="0"/>
          <w:numId w:val="2"/>
        </w:numPr>
        <w:spacing w:after="60" w:line="276"/>
      </w:pPr>
      <w:r>
        <w:rPr>
          <w:rFonts w:ascii="Calibri" w:cs="Calibri" w:eastAsia="Calibri" w:hAnsi="Calibri"/>
          <w:sz w:val="21"/>
          <w:szCs w:val="21"/>
        </w:rPr>
        <w:t xml:space="preserve">14. Eliminating Estimated-Tax Penalties Through Payroll Withholding Timing</w:t>
      </w:r>
    </w:p>
    <w:p>
      <w:pPr>
        <w:pStyle w:val="ListParagraph"/>
        <w:numPr>
          <w:ilvl w:val="0"/>
          <w:numId w:val="2"/>
        </w:numPr>
        <w:spacing w:after="60" w:line="276"/>
      </w:pPr>
      <w:r>
        <w:rPr>
          <w:rFonts w:ascii="Calibri" w:cs="Calibri" w:eastAsia="Calibri" w:hAnsi="Calibri"/>
          <w:sz w:val="21"/>
          <w:szCs w:val="21"/>
        </w:rPr>
        <w:t xml:space="preserve">15. Substantiating Business Vehicle Deductions Under § 274(d)</w:t>
      </w:r>
    </w:p>
    <w:p>
      <w:pPr>
        <w:pStyle w:val="ListParagraph"/>
        <w:numPr>
          <w:ilvl w:val="0"/>
          <w:numId w:val="2"/>
        </w:numPr>
        <w:spacing w:after="60" w:line="276"/>
      </w:pPr>
      <w:r>
        <w:rPr>
          <w:rFonts w:ascii="Calibri" w:cs="Calibri" w:eastAsia="Calibri" w:hAnsi="Calibri"/>
          <w:sz w:val="21"/>
          <w:szCs w:val="21"/>
        </w:rPr>
        <w:t xml:space="preserve">31. Trust Fund Recovery Penalty Exposure for Responsible Persons</w:t>
      </w:r>
    </w:p>
    <w:p>
      <w:pPr>
        <w:pStyle w:val="ListParagraph"/>
        <w:numPr>
          <w:ilvl w:val="0"/>
          <w:numId w:val="2"/>
        </w:numPr>
        <w:spacing w:after="60" w:line="276"/>
      </w:pPr>
      <w:r>
        <w:rPr>
          <w:rFonts w:ascii="Calibri" w:cs="Calibri" w:eastAsia="Calibri" w:hAnsi="Calibri"/>
          <w:sz w:val="21"/>
          <w:szCs w:val="21"/>
        </w:rPr>
        <w:t xml:space="preserve">34. Oil &amp; Gas Working Interest Deductions (Intangible Drilling Costs)</w:t>
      </w:r>
    </w:p>
    <w:p>
      <w:pPr>
        <w:pStyle w:val="ListParagraph"/>
        <w:numPr>
          <w:ilvl w:val="0"/>
          <w:numId w:val="2"/>
        </w:numPr>
        <w:spacing w:after="60" w:line="276"/>
      </w:pPr>
      <w:r>
        <w:rPr>
          <w:rFonts w:ascii="Calibri" w:cs="Calibri" w:eastAsia="Calibri" w:hAnsi="Calibri"/>
          <w:sz w:val="21"/>
          <w:szCs w:val="21"/>
        </w:rPr>
        <w:t xml:space="preserve">42. Electing a Higher Withholding Rate on Supplemental Wages</w:t>
      </w:r>
    </w:p>
    <w:p>
      <w:pPr>
        <w:pStyle w:val="ListParagraph"/>
        <w:numPr>
          <w:ilvl w:val="0"/>
          <w:numId w:val="2"/>
        </w:numPr>
        <w:spacing w:after="60" w:line="276"/>
      </w:pPr>
      <w:r>
        <w:rPr>
          <w:rFonts w:ascii="Calibri" w:cs="Calibri" w:eastAsia="Calibri" w:hAnsi="Calibri"/>
          <w:sz w:val="21"/>
          <w:szCs w:val="21"/>
        </w:rPr>
        <w:t xml:space="preserve">45. The Heavy Vehicle (GVWR) Depreciation Exception</w:t>
      </w:r>
    </w:p>
    <w:p>
      <w:pPr>
        <w:pStyle w:val="ListParagraph"/>
        <w:numPr>
          <w:ilvl w:val="0"/>
          <w:numId w:val="2"/>
        </w:numPr>
        <w:spacing w:after="60" w:line="276"/>
      </w:pPr>
      <w:r>
        <w:rPr>
          <w:rFonts w:ascii="Calibri" w:cs="Calibri" w:eastAsia="Calibri" w:hAnsi="Calibri"/>
          <w:sz w:val="21"/>
          <w:szCs w:val="21"/>
        </w:rPr>
        <w:t xml:space="preserve">50. The Self-Rental Trap When Renting Property to Your Own Business</w:t>
      </w:r>
    </w:p>
    <w:p>
      <w:pPr>
        <w:pStyle w:val="ListParagraph"/>
        <w:numPr>
          <w:ilvl w:val="0"/>
          <w:numId w:val="2"/>
        </w:numPr>
        <w:spacing w:after="60" w:line="276"/>
      </w:pPr>
      <w:r>
        <w:rPr>
          <w:rFonts w:ascii="Calibri" w:cs="Calibri" w:eastAsia="Calibri" w:hAnsi="Calibri"/>
          <w:sz w:val="21"/>
          <w:szCs w:val="21"/>
        </w:rPr>
        <w:t xml:space="preserve">51. The Research &amp; Development (R&amp;D) Tax Credit and the Payroll-Tax Offset Election</w:t>
      </w:r>
    </w:p>
    <w:p>
      <w:pPr>
        <w:pStyle w:val="ListParagraph"/>
        <w:numPr>
          <w:ilvl w:val="0"/>
          <w:numId w:val="2"/>
        </w:numPr>
        <w:spacing w:after="60" w:line="276"/>
      </w:pPr>
      <w:r>
        <w:rPr>
          <w:rFonts w:ascii="Calibri" w:cs="Calibri" w:eastAsia="Calibri" w:hAnsi="Calibri"/>
          <w:sz w:val="21"/>
          <w:szCs w:val="21"/>
        </w:rPr>
        <w:t xml:space="preserve">56. Timing Cash-Basis Income and Expenses to Manage Taxable Income</w:t>
      </w:r>
    </w:p>
    <w:p>
      <w:pPr>
        <w:pStyle w:val="ListParagraph"/>
        <w:numPr>
          <w:ilvl w:val="0"/>
          <w:numId w:val="2"/>
        </w:numPr>
        <w:spacing w:after="60" w:line="276"/>
      </w:pPr>
      <w:r>
        <w:rPr>
          <w:rFonts w:ascii="Calibri" w:cs="Calibri" w:eastAsia="Calibri" w:hAnsi="Calibri"/>
          <w:sz w:val="21"/>
          <w:szCs w:val="21"/>
        </w:rPr>
        <w:t xml:space="preserve">57. QSEHRA: A Health Reimbursement Arrangement for Small Employers Without a Group Plan</w:t>
      </w:r>
    </w:p>
    <w:p>
      <w:pPr>
        <w:pStyle w:val="ListParagraph"/>
        <w:numPr>
          <w:ilvl w:val="0"/>
          <w:numId w:val="2"/>
        </w:numPr>
        <w:spacing w:after="60" w:line="276"/>
      </w:pPr>
      <w:r>
        <w:rPr>
          <w:rFonts w:ascii="Calibri" w:cs="Calibri" w:eastAsia="Calibri" w:hAnsi="Calibri"/>
          <w:sz w:val="21"/>
          <w:szCs w:val="21"/>
        </w:rPr>
        <w:t xml:space="preserve">62. Depreciation Recapture Is Not Deferred by an Installment Sale</w:t>
      </w:r>
    </w:p>
    <w:p>
      <w:pPr>
        <w:pStyle w:val="ListParagraph"/>
        <w:numPr>
          <w:ilvl w:val="0"/>
          <w:numId w:val="2"/>
        </w:numPr>
        <w:spacing w:after="60" w:line="276"/>
      </w:pPr>
      <w:r>
        <w:rPr>
          <w:rFonts w:ascii="Calibri" w:cs="Calibri" w:eastAsia="Calibri" w:hAnsi="Calibri"/>
          <w:sz w:val="21"/>
          <w:szCs w:val="21"/>
        </w:rPr>
        <w:t xml:space="preserve">63. Current-Year Deduction of Domestic Research and Software Development Costs</w:t>
      </w:r>
    </w:p>
    <w:p>
      <w:pPr>
        <w:pStyle w:val="ListParagraph"/>
        <w:numPr>
          <w:ilvl w:val="0"/>
          <w:numId w:val="2"/>
        </w:numPr>
        <w:spacing w:after="60" w:line="276"/>
      </w:pPr>
      <w:r>
        <w:rPr>
          <w:rFonts w:ascii="Calibri" w:cs="Calibri" w:eastAsia="Calibri" w:hAnsi="Calibri"/>
          <w:sz w:val="21"/>
          <w:szCs w:val="21"/>
        </w:rPr>
        <w:t xml:space="preserve">65. Deferring Gain on an Involuntary Conversion Under § 1033</w:t>
      </w:r>
    </w:p>
    <w:p>
      <w:pPr>
        <w:pStyle w:val="ListParagraph"/>
        <w:numPr>
          <w:ilvl w:val="0"/>
          <w:numId w:val="2"/>
        </w:numPr>
        <w:spacing w:after="60" w:line="276"/>
      </w:pPr>
      <w:r>
        <w:rPr>
          <w:rFonts w:ascii="Calibri" w:cs="Calibri" w:eastAsia="Calibri" w:hAnsi="Calibri"/>
          <w:sz w:val="21"/>
          <w:szCs w:val="21"/>
        </w:rPr>
        <w:t xml:space="preserve">66. The § 530 Safe Harbor for Worker Classification</w:t>
      </w:r>
    </w:p>
    <w:p>
      <w:pPr>
        <w:pStyle w:val="ListParagraph"/>
        <w:numPr>
          <w:ilvl w:val="0"/>
          <w:numId w:val="2"/>
        </w:numPr>
        <w:spacing w:after="60" w:line="276"/>
      </w:pPr>
      <w:r>
        <w:rPr>
          <w:rFonts w:ascii="Calibri" w:cs="Calibri" w:eastAsia="Calibri" w:hAnsi="Calibri"/>
          <w:sz w:val="21"/>
          <w:szCs w:val="21"/>
        </w:rPr>
        <w:t xml:space="preserve">67. The Work Opportunity Tax Credit for Hiring From Targeted Groups</w:t>
      </w:r>
    </w:p>
    <w:p>
      <w:pPr>
        <w:pStyle w:val="ListParagraph"/>
        <w:numPr>
          <w:ilvl w:val="0"/>
          <w:numId w:val="2"/>
        </w:numPr>
        <w:spacing w:after="60" w:line="276"/>
      </w:pPr>
      <w:r>
        <w:rPr>
          <w:rFonts w:ascii="Calibri" w:cs="Calibri" w:eastAsia="Calibri" w:hAnsi="Calibri"/>
          <w:sz w:val="21"/>
          <w:szCs w:val="21"/>
        </w:rPr>
        <w:t xml:space="preserve">69. Energy-Efficient Building Deductions and Credits for New Construction</w:t>
      </w:r>
    </w:p>
    <w:p>
      <w:pPr>
        <w:pStyle w:val="ListParagraph"/>
        <w:numPr>
          <w:ilvl w:val="0"/>
          <w:numId w:val="2"/>
        </w:numPr>
        <w:spacing w:after="60" w:line="276"/>
      </w:pPr>
      <w:r>
        <w:rPr>
          <w:rFonts w:ascii="Calibri" w:cs="Calibri" w:eastAsia="Calibri" w:hAnsi="Calibri"/>
          <w:sz w:val="21"/>
          <w:szCs w:val="21"/>
        </w:rPr>
        <w:t xml:space="preserve">70. The Federal Excise Tax Credit for Off-Highway Business Fuel Use</w:t>
      </w:r>
    </w:p>
    <w:p>
      <w:pPr>
        <w:pStyle w:val="ListParagraph"/>
        <w:numPr>
          <w:ilvl w:val="0"/>
          <w:numId w:val="2"/>
        </w:numPr>
        <w:spacing w:after="60" w:line="276"/>
      </w:pPr>
      <w:r>
        <w:rPr>
          <w:rFonts w:ascii="Calibri" w:cs="Calibri" w:eastAsia="Calibri" w:hAnsi="Calibri"/>
          <w:sz w:val="21"/>
          <w:szCs w:val="21"/>
        </w:rPr>
        <w:t xml:space="preserve">71. Safe Harbor 401(k) with Cross-Tested Profit Sharing to Maximize Owner Contributions</w:t>
      </w:r>
    </w:p>
    <w:p>
      <w:pPr>
        <w:pStyle w:val="ListParagraph"/>
        <w:numPr>
          <w:ilvl w:val="0"/>
          <w:numId w:val="2"/>
        </w:numPr>
        <w:spacing w:after="60" w:line="276"/>
      </w:pPr>
      <w:r>
        <w:rPr>
          <w:rFonts w:ascii="Calibri" w:cs="Calibri" w:eastAsia="Calibri" w:hAnsi="Calibri"/>
          <w:sz w:val="21"/>
          <w:szCs w:val="21"/>
        </w:rPr>
        <w:t xml:space="preserve">72. Small-Employer Retirement Plan Startup and Auto-Enrollment Tax Credits</w:t>
      </w:r>
    </w:p>
    <w:p>
      <w:pPr>
        <w:pStyle w:val="ListParagraph"/>
        <w:numPr>
          <w:ilvl w:val="0"/>
          <w:numId w:val="2"/>
        </w:numPr>
        <w:spacing w:after="60" w:line="276"/>
      </w:pPr>
      <w:r>
        <w:rPr>
          <w:rFonts w:ascii="Calibri" w:cs="Calibri" w:eastAsia="Calibri" w:hAnsi="Calibri"/>
          <w:sz w:val="21"/>
          <w:szCs w:val="21"/>
        </w:rPr>
        <w:t xml:space="preserve">74. The Clean Vehicle Tax Credit for Business-Use Electric Vehicles</w:t>
      </w:r>
    </w:p>
    <w:p>
      <w:pPr>
        <w:pStyle w:val="ListParagraph"/>
        <w:numPr>
          <w:ilvl w:val="0"/>
          <w:numId w:val="2"/>
        </w:numPr>
        <w:spacing w:after="60" w:line="276"/>
      </w:pPr>
      <w:r>
        <w:rPr>
          <w:rFonts w:ascii="Calibri" w:cs="Calibri" w:eastAsia="Calibri" w:hAnsi="Calibri"/>
          <w:sz w:val="21"/>
          <w:szCs w:val="21"/>
        </w:rPr>
        <w:t xml:space="preserve">75. Modeling State Decoupling Before Committing to a Bonus Depreciation Strategy</w:t>
      </w:r>
    </w:p>
    <w:p>
      <w:pPr>
        <w:pStyle w:val="ListParagraph"/>
        <w:numPr>
          <w:ilvl w:val="0"/>
          <w:numId w:val="2"/>
        </w:numPr>
        <w:spacing w:after="60" w:line="276"/>
      </w:pPr>
      <w:r>
        <w:rPr>
          <w:rFonts w:ascii="Calibri" w:cs="Calibri" w:eastAsia="Calibri" w:hAnsi="Calibri"/>
          <w:sz w:val="21"/>
          <w:szCs w:val="21"/>
        </w:rPr>
        <w:t xml:space="preserve">80. The Disabled Access Credit for Small Business Accessibility Improvements</w:t>
      </w:r>
    </w:p>
    <w:p>
      <w:pPr>
        <w:pStyle w:val="ListParagraph"/>
        <w:numPr>
          <w:ilvl w:val="0"/>
          <w:numId w:val="2"/>
        </w:numPr>
        <w:spacing w:after="60" w:line="276"/>
      </w:pPr>
      <w:r>
        <w:rPr>
          <w:rFonts w:ascii="Calibri" w:cs="Calibri" w:eastAsia="Calibri" w:hAnsi="Calibri"/>
          <w:sz w:val="21"/>
          <w:szCs w:val="21"/>
        </w:rPr>
        <w:t xml:space="preserve">81. Employing Your Own Minor Children in the Family Business</w:t>
      </w:r>
    </w:p>
    <w:p>
      <w:pPr>
        <w:pStyle w:val="ListParagraph"/>
        <w:numPr>
          <w:ilvl w:val="0"/>
          <w:numId w:val="2"/>
        </w:numPr>
        <w:spacing w:after="60" w:line="276"/>
      </w:pPr>
      <w:r>
        <w:rPr>
          <w:rFonts w:ascii="Calibri" w:cs="Calibri" w:eastAsia="Calibri" w:hAnsi="Calibri"/>
          <w:sz w:val="21"/>
          <w:szCs w:val="21"/>
        </w:rPr>
        <w:t xml:space="preserve">82. The De Minimis Safe Harbor Election for Immediately Expensing Low-Cost Purchases</w:t>
      </w:r>
    </w:p>
    <w:p>
      <w:pPr>
        <w:pStyle w:val="ListParagraph"/>
        <w:numPr>
          <w:ilvl w:val="0"/>
          <w:numId w:val="2"/>
        </w:numPr>
        <w:spacing w:after="60" w:line="276"/>
      </w:pPr>
      <w:r>
        <w:rPr>
          <w:rFonts w:ascii="Calibri" w:cs="Calibri" w:eastAsia="Calibri" w:hAnsi="Calibri"/>
          <w:sz w:val="21"/>
          <w:szCs w:val="21"/>
        </w:rPr>
        <w:t xml:space="preserve">85. Using the Annualized Income Installment Method for Lumpy Income</w:t>
      </w:r>
    </w:p>
    <w:p>
      <w:pPr>
        <w:pStyle w:val="ListParagraph"/>
        <w:numPr>
          <w:ilvl w:val="0"/>
          <w:numId w:val="2"/>
        </w:numPr>
        <w:spacing w:after="60" w:line="276"/>
      </w:pPr>
      <w:r>
        <w:rPr>
          <w:rFonts w:ascii="Calibri" w:cs="Calibri" w:eastAsia="Calibri" w:hAnsi="Calibri"/>
          <w:sz w:val="21"/>
          <w:szCs w:val="21"/>
        </w:rPr>
        <w:t xml:space="preserve">89. The Employer-Provided Child Care Credit</w:t>
      </w:r>
    </w:p>
    <w:p>
      <w:pPr>
        <w:pStyle w:val="ListParagraph"/>
        <w:numPr>
          <w:ilvl w:val="0"/>
          <w:numId w:val="2"/>
        </w:numPr>
        <w:spacing w:after="60" w:line="276"/>
      </w:pPr>
      <w:r>
        <w:rPr>
          <w:rFonts w:ascii="Calibri" w:cs="Calibri" w:eastAsia="Calibri" w:hAnsi="Calibri"/>
          <w:sz w:val="21"/>
          <w:szCs w:val="21"/>
        </w:rPr>
        <w:t xml:space="preserve">90. Net Operating Loss Carryforwards and Why They Don't Reduce Self-Employment Tax</w:t>
      </w:r>
    </w:p>
    <w:p>
      <w:pPr>
        <w:pStyle w:val="ListParagraph"/>
        <w:numPr>
          <w:ilvl w:val="0"/>
          <w:numId w:val="2"/>
        </w:numPr>
        <w:spacing w:after="60" w:line="276"/>
      </w:pPr>
      <w:r>
        <w:rPr>
          <w:rFonts w:ascii="Calibri" w:cs="Calibri" w:eastAsia="Calibri" w:hAnsi="Calibri"/>
          <w:sz w:val="21"/>
          <w:szCs w:val="21"/>
        </w:rPr>
        <w:t xml:space="preserve">91. Filing a Superseding Return Instead of an Amended Return</w:t>
      </w:r>
    </w:p>
    <w:p>
      <w:pPr>
        <w:pStyle w:val="ListParagraph"/>
        <w:numPr>
          <w:ilvl w:val="0"/>
          <w:numId w:val="2"/>
        </w:numPr>
        <w:spacing w:after="60" w:line="276"/>
      </w:pPr>
      <w:r>
        <w:rPr>
          <w:rFonts w:ascii="Calibri" w:cs="Calibri" w:eastAsia="Calibri" w:hAnsi="Calibri"/>
          <w:sz w:val="21"/>
          <w:szCs w:val="21"/>
        </w:rPr>
        <w:t xml:space="preserve">93. Controlled Group and Affiliated Service Group Rules for Multi-Entity Retirement Plans</w:t>
      </w:r>
    </w:p>
    <w:p>
      <w:pPr>
        <w:pStyle w:val="ListParagraph"/>
        <w:numPr>
          <w:ilvl w:val="0"/>
          <w:numId w:val="2"/>
        </w:numPr>
        <w:spacing w:after="60" w:line="276"/>
      </w:pPr>
      <w:r>
        <w:rPr>
          <w:rFonts w:ascii="Calibri" w:cs="Calibri" w:eastAsia="Calibri" w:hAnsi="Calibri"/>
          <w:sz w:val="21"/>
          <w:szCs w:val="21"/>
        </w:rPr>
        <w:t xml:space="preserve">96. Imputing AFR Interest on Below-Market Related-Party Loans</w:t>
      </w:r>
    </w:p>
    <w:p>
      <w:pPr>
        <w:pStyle w:val="ListParagraph"/>
        <w:numPr>
          <w:ilvl w:val="0"/>
          <w:numId w:val="2"/>
        </w:numPr>
        <w:spacing w:after="60" w:line="276"/>
      </w:pPr>
      <w:r>
        <w:rPr>
          <w:rFonts w:ascii="Calibri" w:cs="Calibri" w:eastAsia="Calibri" w:hAnsi="Calibri"/>
          <w:sz w:val="21"/>
          <w:szCs w:val="21"/>
        </w:rPr>
        <w:t xml:space="preserve">100. Negotiating the Purchase-Price Allocation (Form 8594) to Maximize Capital-Gain Treatment on a Business Sale</w:t>
      </w:r>
    </w:p>
    <w:p>
      <w:pPr>
        <w:pStyle w:val="ListParagraph"/>
        <w:numPr>
          <w:ilvl w:val="0"/>
          <w:numId w:val="2"/>
        </w:numPr>
        <w:spacing w:after="60" w:line="276"/>
      </w:pPr>
      <w:r>
        <w:rPr>
          <w:rFonts w:ascii="Calibri" w:cs="Calibri" w:eastAsia="Calibri" w:hAnsi="Calibri"/>
          <w:sz w:val="21"/>
          <w:szCs w:val="21"/>
        </w:rPr>
        <w:t xml:space="preserve">101. Adopting a Retroactive Retirement Plan by the Extended Filing Deadline (SECURE 2.0)</w:t>
      </w:r>
    </w:p>
    <w:p>
      <w:pPr>
        <w:pStyle w:val="Heading2"/>
        <w:spacing w:after="80" w:before="200"/>
      </w:pPr>
      <w:r>
        <w:rPr>
          <w:rFonts w:ascii="Calibri" w:cs="Calibri" w:eastAsia="Calibri" w:hAnsi="Calibri"/>
          <w:b/>
          <w:bCs/>
          <w:color w:val="2E5496"/>
          <w:sz w:val="24"/>
          <w:szCs w:val="24"/>
        </w:rPr>
        <w:t xml:space="preserve">Real Estate</w:t>
      </w:r>
    </w:p>
    <w:p>
      <w:pPr>
        <w:pStyle w:val="ListParagraph"/>
        <w:numPr>
          <w:ilvl w:val="0"/>
          <w:numId w:val="2"/>
        </w:numPr>
        <w:spacing w:after="60" w:line="276"/>
      </w:pPr>
      <w:r>
        <w:rPr>
          <w:rFonts w:ascii="Calibri" w:cs="Calibri" w:eastAsia="Calibri" w:hAnsi="Calibri"/>
          <w:sz w:val="21"/>
          <w:szCs w:val="21"/>
        </w:rPr>
        <w:t xml:space="preserve">3. Real Estate Buy-vs-Rent Strategy Using an Affiliated LLC, § 469 Grouping, and Cost Segregation</w:t>
      </w:r>
    </w:p>
    <w:p>
      <w:pPr>
        <w:pStyle w:val="ListParagraph"/>
        <w:numPr>
          <w:ilvl w:val="0"/>
          <w:numId w:val="2"/>
        </w:numPr>
        <w:spacing w:after="60" w:line="276"/>
      </w:pPr>
      <w:r>
        <w:rPr>
          <w:rFonts w:ascii="Calibri" w:cs="Calibri" w:eastAsia="Calibri" w:hAnsi="Calibri"/>
          <w:sz w:val="21"/>
          <w:szCs w:val="21"/>
        </w:rPr>
        <w:t xml:space="preserve">24. The Short-Term Rental Loophole for Active Losses</w:t>
      </w:r>
    </w:p>
    <w:p>
      <w:pPr>
        <w:pStyle w:val="ListParagraph"/>
        <w:numPr>
          <w:ilvl w:val="0"/>
          <w:numId w:val="2"/>
        </w:numPr>
        <w:spacing w:after="60" w:line="276"/>
      </w:pPr>
      <w:r>
        <w:rPr>
          <w:rFonts w:ascii="Calibri" w:cs="Calibri" w:eastAsia="Calibri" w:hAnsi="Calibri"/>
          <w:sz w:val="21"/>
          <w:szCs w:val="21"/>
        </w:rPr>
        <w:t xml:space="preserve">26. Qualified Opportunity Zone (QOZ) Capital Gain Deferral</w:t>
      </w:r>
    </w:p>
    <w:p>
      <w:pPr>
        <w:pStyle w:val="ListParagraph"/>
        <w:numPr>
          <w:ilvl w:val="0"/>
          <w:numId w:val="2"/>
        </w:numPr>
        <w:spacing w:after="60" w:line="276"/>
      </w:pPr>
      <w:r>
        <w:rPr>
          <w:rFonts w:ascii="Calibri" w:cs="Calibri" w:eastAsia="Calibri" w:hAnsi="Calibri"/>
          <w:sz w:val="21"/>
          <w:szCs w:val="21"/>
        </w:rPr>
        <w:t xml:space="preserve">38. Depreciating Foreign Rental Real Estate Under the Alternative Depreciation System</w:t>
      </w:r>
    </w:p>
    <w:p>
      <w:pPr>
        <w:pStyle w:val="ListParagraph"/>
        <w:numPr>
          <w:ilvl w:val="0"/>
          <w:numId w:val="2"/>
        </w:numPr>
        <w:spacing w:after="60" w:line="276"/>
      </w:pPr>
      <w:r>
        <w:rPr>
          <w:rFonts w:ascii="Calibri" w:cs="Calibri" w:eastAsia="Calibri" w:hAnsi="Calibri"/>
          <w:sz w:val="21"/>
          <w:szCs w:val="21"/>
        </w:rPr>
        <w:t xml:space="preserve">46. Real Estate Professional Status (REPS) to Deduct Rental Losses Against Other Income</w:t>
      </w:r>
    </w:p>
    <w:p>
      <w:pPr>
        <w:pStyle w:val="ListParagraph"/>
        <w:numPr>
          <w:ilvl w:val="0"/>
          <w:numId w:val="2"/>
        </w:numPr>
        <w:spacing w:after="60" w:line="276"/>
      </w:pPr>
      <w:r>
        <w:rPr>
          <w:rFonts w:ascii="Calibri" w:cs="Calibri" w:eastAsia="Calibri" w:hAnsi="Calibri"/>
          <w:sz w:val="21"/>
          <w:szCs w:val="21"/>
        </w:rPr>
        <w:t xml:space="preserve">49. Avoiding Real-Estate Dealer (Ordinary Income) Classification on Property Flips</w:t>
      </w:r>
    </w:p>
    <w:p>
      <w:pPr>
        <w:pStyle w:val="ListParagraph"/>
        <w:numPr>
          <w:ilvl w:val="0"/>
          <w:numId w:val="2"/>
        </w:numPr>
        <w:spacing w:after="60" w:line="276"/>
      </w:pPr>
      <w:r>
        <w:rPr>
          <w:rFonts w:ascii="Calibri" w:cs="Calibri" w:eastAsia="Calibri" w:hAnsi="Calibri"/>
          <w:sz w:val="21"/>
          <w:szCs w:val="21"/>
        </w:rPr>
        <w:t xml:space="preserve">50. The Self-Rental Trap When Renting Property to Your Own Business</w:t>
      </w:r>
    </w:p>
    <w:p>
      <w:pPr>
        <w:pStyle w:val="ListParagraph"/>
        <w:numPr>
          <w:ilvl w:val="0"/>
          <w:numId w:val="2"/>
        </w:numPr>
        <w:spacing w:after="60" w:line="276"/>
      </w:pPr>
      <w:r>
        <w:rPr>
          <w:rFonts w:ascii="Calibri" w:cs="Calibri" w:eastAsia="Calibri" w:hAnsi="Calibri"/>
          <w:sz w:val="21"/>
          <w:szCs w:val="21"/>
        </w:rPr>
        <w:t xml:space="preserve">68. Investing for Federal Tax Credits Through Low-Income Housing Syndication</w:t>
      </w:r>
    </w:p>
    <w:p>
      <w:pPr>
        <w:pStyle w:val="ListParagraph"/>
        <w:numPr>
          <w:ilvl w:val="0"/>
          <w:numId w:val="2"/>
        </w:numPr>
        <w:spacing w:after="60" w:line="276"/>
      </w:pPr>
      <w:r>
        <w:rPr>
          <w:rFonts w:ascii="Calibri" w:cs="Calibri" w:eastAsia="Calibri" w:hAnsi="Calibri"/>
          <w:sz w:val="21"/>
          <w:szCs w:val="21"/>
        </w:rPr>
        <w:t xml:space="preserve">69. Energy-Efficient Building Deductions and Credits for New Construction</w:t>
      </w:r>
    </w:p>
    <w:p>
      <w:pPr>
        <w:pStyle w:val="ListParagraph"/>
        <w:numPr>
          <w:ilvl w:val="0"/>
          <w:numId w:val="2"/>
        </w:numPr>
        <w:spacing w:after="60" w:line="276"/>
      </w:pPr>
      <w:r>
        <w:rPr>
          <w:rFonts w:ascii="Calibri" w:cs="Calibri" w:eastAsia="Calibri" w:hAnsi="Calibri"/>
          <w:sz w:val="21"/>
          <w:szCs w:val="21"/>
        </w:rPr>
        <w:t xml:space="preserve">75. Modeling State Decoupling Before Committing to a Bonus Depreciation Strategy</w:t>
      </w:r>
    </w:p>
    <w:p>
      <w:pPr>
        <w:pStyle w:val="ListParagraph"/>
        <w:numPr>
          <w:ilvl w:val="0"/>
          <w:numId w:val="2"/>
        </w:numPr>
        <w:spacing w:after="60" w:line="276"/>
      </w:pPr>
      <w:r>
        <w:rPr>
          <w:rFonts w:ascii="Calibri" w:cs="Calibri" w:eastAsia="Calibri" w:hAnsi="Calibri"/>
          <w:sz w:val="21"/>
          <w:szCs w:val="21"/>
        </w:rPr>
        <w:t xml:space="preserve">97. Related-Party Property Purchases Disqualify Bonus Depreciation and §179, Even Through an LLC Wrapper</w:t>
      </w:r>
    </w:p>
    <w:p>
      <w:pPr>
        <w:pStyle w:val="Heading2"/>
        <w:spacing w:after="80" w:before="200"/>
      </w:pPr>
      <w:r>
        <w:rPr>
          <w:rFonts w:ascii="Calibri" w:cs="Calibri" w:eastAsia="Calibri" w:hAnsi="Calibri"/>
          <w:b/>
          <w:bCs/>
          <w:color w:val="2E5496"/>
          <w:sz w:val="24"/>
          <w:szCs w:val="24"/>
        </w:rPr>
        <w:t xml:space="preserve">C-Corporation</w:t>
      </w:r>
    </w:p>
    <w:p>
      <w:pPr>
        <w:pStyle w:val="ListParagraph"/>
        <w:numPr>
          <w:ilvl w:val="0"/>
          <w:numId w:val="2"/>
        </w:numPr>
        <w:spacing w:after="60" w:line="276"/>
      </w:pPr>
      <w:r>
        <w:rPr>
          <w:rFonts w:ascii="Calibri" w:cs="Calibri" w:eastAsia="Calibri" w:hAnsi="Calibri"/>
          <w:sz w:val="21"/>
          <w:szCs w:val="21"/>
        </w:rPr>
        <w:t xml:space="preserve">5. Home Office Reimbursement Through an Accountable Plan</w:t>
      </w:r>
    </w:p>
    <w:p>
      <w:pPr>
        <w:pStyle w:val="ListParagraph"/>
        <w:numPr>
          <w:ilvl w:val="0"/>
          <w:numId w:val="2"/>
        </w:numPr>
        <w:spacing w:after="60" w:line="276"/>
      </w:pPr>
      <w:r>
        <w:rPr>
          <w:rFonts w:ascii="Calibri" w:cs="Calibri" w:eastAsia="Calibri" w:hAnsi="Calibri"/>
          <w:sz w:val="21"/>
          <w:szCs w:val="21"/>
        </w:rPr>
        <w:t xml:space="preserve">6. The Augusta Rule: Tax-Free Short-Term Rental of a Personal Residence to One’s Own Business</w:t>
      </w:r>
    </w:p>
    <w:p>
      <w:pPr>
        <w:pStyle w:val="ListParagraph"/>
        <w:numPr>
          <w:ilvl w:val="0"/>
          <w:numId w:val="2"/>
        </w:numPr>
        <w:spacing w:after="60" w:line="276"/>
      </w:pPr>
      <w:r>
        <w:rPr>
          <w:rFonts w:ascii="Calibri" w:cs="Calibri" w:eastAsia="Calibri" w:hAnsi="Calibri"/>
          <w:sz w:val="21"/>
          <w:szCs w:val="21"/>
        </w:rPr>
        <w:t xml:space="preserve">18. The § 83(b) Election on Restricted or Founder Equity</w:t>
      </w:r>
    </w:p>
    <w:p>
      <w:pPr>
        <w:pStyle w:val="ListParagraph"/>
        <w:numPr>
          <w:ilvl w:val="0"/>
          <w:numId w:val="2"/>
        </w:numPr>
        <w:spacing w:after="60" w:line="276"/>
      </w:pPr>
      <w:r>
        <w:rPr>
          <w:rFonts w:ascii="Calibri" w:cs="Calibri" w:eastAsia="Calibri" w:hAnsi="Calibri"/>
          <w:sz w:val="21"/>
          <w:szCs w:val="21"/>
        </w:rPr>
        <w:t xml:space="preserve">19. The Qualified Small Business Stock (QSBS) Exclusion Under § 1202</w:t>
      </w:r>
    </w:p>
    <w:p>
      <w:pPr>
        <w:pStyle w:val="ListParagraph"/>
        <w:numPr>
          <w:ilvl w:val="0"/>
          <w:numId w:val="2"/>
        </w:numPr>
        <w:spacing w:after="60" w:line="276"/>
      </w:pPr>
      <w:r>
        <w:rPr>
          <w:rFonts w:ascii="Calibri" w:cs="Calibri" w:eastAsia="Calibri" w:hAnsi="Calibri"/>
          <w:sz w:val="21"/>
          <w:szCs w:val="21"/>
        </w:rPr>
        <w:t xml:space="preserve">32. Distributing S-Corporation Earnings Before Converting to a C-Corporation</w:t>
      </w:r>
    </w:p>
    <w:p>
      <w:pPr>
        <w:pStyle w:val="ListParagraph"/>
        <w:numPr>
          <w:ilvl w:val="0"/>
          <w:numId w:val="2"/>
        </w:numPr>
        <w:spacing w:after="60" w:line="276"/>
      </w:pPr>
      <w:r>
        <w:rPr>
          <w:rFonts w:ascii="Calibri" w:cs="Calibri" w:eastAsia="Calibri" w:hAnsi="Calibri"/>
          <w:sz w:val="21"/>
          <w:szCs w:val="21"/>
        </w:rPr>
        <w:t xml:space="preserve">35. Avoiding the Accumulated Earnings Tax in a C-Corporation</w:t>
      </w:r>
    </w:p>
    <w:p>
      <w:pPr>
        <w:pStyle w:val="ListParagraph"/>
        <w:numPr>
          <w:ilvl w:val="0"/>
          <w:numId w:val="2"/>
        </w:numPr>
        <w:spacing w:after="60" w:line="276"/>
      </w:pPr>
      <w:r>
        <w:rPr>
          <w:rFonts w:ascii="Calibri" w:cs="Calibri" w:eastAsia="Calibri" w:hAnsi="Calibri"/>
          <w:sz w:val="21"/>
          <w:szCs w:val="21"/>
        </w:rPr>
        <w:t xml:space="preserve">76. Managing the Built-In Gains Tax When Converting a C-Corporation to an S-Corporation</w:t>
      </w:r>
    </w:p>
    <w:p>
      <w:pPr>
        <w:pStyle w:val="ListParagraph"/>
        <w:numPr>
          <w:ilvl w:val="0"/>
          <w:numId w:val="2"/>
        </w:numPr>
        <w:spacing w:after="60" w:line="276"/>
      </w:pPr>
      <w:r>
        <w:rPr>
          <w:rFonts w:ascii="Calibri" w:cs="Calibri" w:eastAsia="Calibri" w:hAnsi="Calibri"/>
          <w:sz w:val="21"/>
          <w:szCs w:val="21"/>
        </w:rPr>
        <w:t xml:space="preserve">77. Complete Termination Stock Redemptions for Capital-Gain Buyout Treatment</w:t>
      </w:r>
    </w:p>
    <w:p>
      <w:pPr>
        <w:pStyle w:val="Heading2"/>
        <w:spacing w:after="80" w:before="200"/>
      </w:pPr>
      <w:r>
        <w:rPr>
          <w:rFonts w:ascii="Calibri" w:cs="Calibri" w:eastAsia="Calibri" w:hAnsi="Calibri"/>
          <w:b/>
          <w:bCs/>
          <w:color w:val="2E5496"/>
          <w:sz w:val="24"/>
          <w:szCs w:val="24"/>
        </w:rPr>
        <w:t xml:space="preserve">Partnership / LLC</w:t>
      </w:r>
    </w:p>
    <w:p>
      <w:pPr>
        <w:pStyle w:val="ListParagraph"/>
        <w:numPr>
          <w:ilvl w:val="0"/>
          <w:numId w:val="2"/>
        </w:numPr>
        <w:spacing w:after="60" w:line="276"/>
      </w:pPr>
      <w:r>
        <w:rPr>
          <w:rFonts w:ascii="Calibri" w:cs="Calibri" w:eastAsia="Calibri" w:hAnsi="Calibri"/>
          <w:sz w:val="21"/>
          <w:szCs w:val="21"/>
        </w:rPr>
        <w:t xml:space="preserve">7. The Pass-Through Entity Tax (PTET) Election to Work Around the SALT Deduction Cap</w:t>
      </w:r>
    </w:p>
    <w:p>
      <w:pPr>
        <w:pStyle w:val="ListParagraph"/>
        <w:numPr>
          <w:ilvl w:val="0"/>
          <w:numId w:val="2"/>
        </w:numPr>
        <w:spacing w:after="60" w:line="276"/>
      </w:pPr>
      <w:r>
        <w:rPr>
          <w:rFonts w:ascii="Calibri" w:cs="Calibri" w:eastAsia="Calibri" w:hAnsi="Calibri"/>
          <w:sz w:val="21"/>
          <w:szCs w:val="21"/>
        </w:rPr>
        <w:t xml:space="preserve">11. Self-Employment Tax Exposure for Active LLC and Partnership Members</w:t>
      </w:r>
    </w:p>
    <w:p>
      <w:pPr>
        <w:pStyle w:val="ListParagraph"/>
        <w:numPr>
          <w:ilvl w:val="0"/>
          <w:numId w:val="2"/>
        </w:numPr>
        <w:spacing w:after="60" w:line="276"/>
      </w:pPr>
      <w:r>
        <w:rPr>
          <w:rFonts w:ascii="Calibri" w:cs="Calibri" w:eastAsia="Calibri" w:hAnsi="Calibri"/>
          <w:sz w:val="21"/>
          <w:szCs w:val="21"/>
        </w:rPr>
        <w:t xml:space="preserve">16. Partner Basis Limits on Distributions from an LLC or Partnership</w:t>
      </w:r>
    </w:p>
    <w:p>
      <w:pPr>
        <w:pStyle w:val="ListParagraph"/>
        <w:numPr>
          <w:ilvl w:val="0"/>
          <w:numId w:val="2"/>
        </w:numPr>
        <w:spacing w:after="60" w:line="276"/>
      </w:pPr>
      <w:r>
        <w:rPr>
          <w:rFonts w:ascii="Calibri" w:cs="Calibri" w:eastAsia="Calibri" w:hAnsi="Calibri"/>
          <w:sz w:val="21"/>
          <w:szCs w:val="21"/>
        </w:rPr>
        <w:t xml:space="preserve">25. Selling a Partnership Interest: Debt-Relief Gain, Suspended-Loss Release, and Hot Assets</w:t>
      </w:r>
    </w:p>
    <w:p>
      <w:pPr>
        <w:pStyle w:val="ListParagraph"/>
        <w:numPr>
          <w:ilvl w:val="0"/>
          <w:numId w:val="2"/>
        </w:numPr>
        <w:spacing w:after="60" w:line="276"/>
      </w:pPr>
      <w:r>
        <w:rPr>
          <w:rFonts w:ascii="Calibri" w:cs="Calibri" w:eastAsia="Calibri" w:hAnsi="Calibri"/>
          <w:sz w:val="21"/>
          <w:szCs w:val="21"/>
        </w:rPr>
        <w:t xml:space="preserve">33. Maximizing the Qualified Business Income (QBI) Deduction Through a Wage True-Up</w:t>
      </w:r>
    </w:p>
    <w:p>
      <w:pPr>
        <w:pStyle w:val="ListParagraph"/>
        <w:numPr>
          <w:ilvl w:val="0"/>
          <w:numId w:val="2"/>
        </w:numPr>
        <w:spacing w:after="60" w:line="276"/>
      </w:pPr>
      <w:r>
        <w:rPr>
          <w:rFonts w:ascii="Calibri" w:cs="Calibri" w:eastAsia="Calibri" w:hAnsi="Calibri"/>
          <w:sz w:val="21"/>
          <w:szCs w:val="21"/>
        </w:rPr>
        <w:t xml:space="preserve">47. The Specified Service Trade or Business (SSTB) Exclusion from the QBI Deduction</w:t>
      </w:r>
    </w:p>
    <w:p>
      <w:pPr>
        <w:pStyle w:val="ListParagraph"/>
        <w:numPr>
          <w:ilvl w:val="0"/>
          <w:numId w:val="2"/>
        </w:numPr>
        <w:spacing w:after="60" w:line="276"/>
      </w:pPr>
      <w:r>
        <w:rPr>
          <w:rFonts w:ascii="Calibri" w:cs="Calibri" w:eastAsia="Calibri" w:hAnsi="Calibri"/>
          <w:sz w:val="21"/>
          <w:szCs w:val="21"/>
        </w:rPr>
        <w:t xml:space="preserve">53. Aggregating Multiple Businesses for the QBI Wage Limitation (§ 1.199A-4)</w:t>
      </w:r>
    </w:p>
    <w:p>
      <w:pPr>
        <w:pStyle w:val="ListParagraph"/>
        <w:numPr>
          <w:ilvl w:val="0"/>
          <w:numId w:val="2"/>
        </w:numPr>
        <w:spacing w:after="60" w:line="276"/>
      </w:pPr>
      <w:r>
        <w:rPr>
          <w:rFonts w:ascii="Calibri" w:cs="Calibri" w:eastAsia="Calibri" w:hAnsi="Calibri"/>
          <w:sz w:val="21"/>
          <w:szCs w:val="21"/>
        </w:rPr>
        <w:t xml:space="preserve">87. Separating Non-SSTB Revenue Into a New Entity to Preserve the QBI Deduction</w:t>
      </w:r>
    </w:p>
    <w:p>
      <w:pPr>
        <w:pStyle w:val="ListParagraph"/>
        <w:numPr>
          <w:ilvl w:val="0"/>
          <w:numId w:val="2"/>
        </w:numPr>
        <w:spacing w:after="60" w:line="276"/>
      </w:pPr>
      <w:r>
        <w:rPr>
          <w:rFonts w:ascii="Calibri" w:cs="Calibri" w:eastAsia="Calibri" w:hAnsi="Calibri"/>
          <w:sz w:val="21"/>
          <w:szCs w:val="21"/>
        </w:rPr>
        <w:t xml:space="preserve">94. Partnership Loss Limitations Under §704(d) and Restoring Basis to Free Suspended Losses</w:t>
      </w:r>
    </w:p>
    <w:p>
      <w:pPr>
        <w:pStyle w:val="Heading2"/>
        <w:spacing w:after="80" w:before="200"/>
      </w:pPr>
      <w:r>
        <w:rPr>
          <w:rFonts w:ascii="Calibri" w:cs="Calibri" w:eastAsia="Calibri" w:hAnsi="Calibri"/>
          <w:b/>
          <w:bCs/>
          <w:color w:val="2E5496"/>
          <w:sz w:val="24"/>
          <w:szCs w:val="24"/>
        </w:rPr>
        <w:t xml:space="preserve">Individual / Investment</w:t>
      </w:r>
    </w:p>
    <w:p>
      <w:pPr>
        <w:pStyle w:val="ListParagraph"/>
        <w:numPr>
          <w:ilvl w:val="0"/>
          <w:numId w:val="2"/>
        </w:numPr>
        <w:spacing w:after="60" w:line="276"/>
      </w:pPr>
      <w:r>
        <w:rPr>
          <w:rFonts w:ascii="Calibri" w:cs="Calibri" w:eastAsia="Calibri" w:hAnsi="Calibri"/>
          <w:sz w:val="21"/>
          <w:szCs w:val="21"/>
        </w:rPr>
        <w:t xml:space="preserve">9. Banking Capital Loss Carryforwards as a Future Planning Asset</w:t>
      </w:r>
    </w:p>
    <w:p>
      <w:pPr>
        <w:pStyle w:val="ListParagraph"/>
        <w:numPr>
          <w:ilvl w:val="0"/>
          <w:numId w:val="2"/>
        </w:numPr>
        <w:spacing w:after="60" w:line="276"/>
      </w:pPr>
      <w:r>
        <w:rPr>
          <w:rFonts w:ascii="Calibri" w:cs="Calibri" w:eastAsia="Calibri" w:hAnsi="Calibri"/>
          <w:sz w:val="21"/>
          <w:szCs w:val="21"/>
        </w:rPr>
        <w:t xml:space="preserve">20. Donating Appreciated Securities Through a Donor-Advised Fund</w:t>
      </w:r>
    </w:p>
    <w:p>
      <w:pPr>
        <w:pStyle w:val="ListParagraph"/>
        <w:numPr>
          <w:ilvl w:val="0"/>
          <w:numId w:val="2"/>
        </w:numPr>
        <w:spacing w:after="60" w:line="276"/>
      </w:pPr>
      <w:r>
        <w:rPr>
          <w:rFonts w:ascii="Calibri" w:cs="Calibri" w:eastAsia="Calibri" w:hAnsi="Calibri"/>
          <w:sz w:val="21"/>
          <w:szCs w:val="21"/>
        </w:rPr>
        <w:t xml:space="preserve">21. The Backdoor Roth IRA for High-Income Earners</w:t>
      </w:r>
    </w:p>
    <w:p>
      <w:pPr>
        <w:pStyle w:val="ListParagraph"/>
        <w:numPr>
          <w:ilvl w:val="0"/>
          <w:numId w:val="2"/>
        </w:numPr>
        <w:spacing w:after="60" w:line="276"/>
      </w:pPr>
      <w:r>
        <w:rPr>
          <w:rFonts w:ascii="Calibri" w:cs="Calibri" w:eastAsia="Calibri" w:hAnsi="Calibri"/>
          <w:sz w:val="21"/>
          <w:szCs w:val="21"/>
        </w:rPr>
        <w:t xml:space="preserve">26. Qualified Opportunity Zone (QOZ) Capital Gain Deferral</w:t>
      </w:r>
    </w:p>
    <w:p>
      <w:pPr>
        <w:pStyle w:val="ListParagraph"/>
        <w:numPr>
          <w:ilvl w:val="0"/>
          <w:numId w:val="2"/>
        </w:numPr>
        <w:spacing w:after="60" w:line="276"/>
      </w:pPr>
      <w:r>
        <w:rPr>
          <w:rFonts w:ascii="Calibri" w:cs="Calibri" w:eastAsia="Calibri" w:hAnsi="Calibri"/>
          <w:sz w:val="21"/>
          <w:szCs w:val="21"/>
        </w:rPr>
        <w:t xml:space="preserve">27. Tax-Loss Harvesting to Offset Capital Gains</w:t>
      </w:r>
    </w:p>
    <w:p>
      <w:pPr>
        <w:pStyle w:val="ListParagraph"/>
        <w:numPr>
          <w:ilvl w:val="0"/>
          <w:numId w:val="2"/>
        </w:numPr>
        <w:spacing w:after="60" w:line="276"/>
      </w:pPr>
      <w:r>
        <w:rPr>
          <w:rFonts w:ascii="Calibri" w:cs="Calibri" w:eastAsia="Calibri" w:hAnsi="Calibri"/>
          <w:sz w:val="21"/>
          <w:szCs w:val="21"/>
        </w:rPr>
        <w:t xml:space="preserve">34. Oil &amp; Gas Working Interest Deductions (Intangible Drilling Costs)</w:t>
      </w:r>
    </w:p>
    <w:p>
      <w:pPr>
        <w:pStyle w:val="ListParagraph"/>
        <w:numPr>
          <w:ilvl w:val="0"/>
          <w:numId w:val="2"/>
        </w:numPr>
        <w:spacing w:after="60" w:line="276"/>
      </w:pPr>
      <w:r>
        <w:rPr>
          <w:rFonts w:ascii="Calibri" w:cs="Calibri" w:eastAsia="Calibri" w:hAnsi="Calibri"/>
          <w:sz w:val="21"/>
          <w:szCs w:val="21"/>
        </w:rPr>
        <w:t xml:space="preserve">36. Specific Lot Identification and Holding-Period Timing for Active Investors</w:t>
      </w:r>
    </w:p>
    <w:p>
      <w:pPr>
        <w:pStyle w:val="ListParagraph"/>
        <w:numPr>
          <w:ilvl w:val="0"/>
          <w:numId w:val="2"/>
        </w:numPr>
        <w:spacing w:after="60" w:line="276"/>
      </w:pPr>
      <w:r>
        <w:rPr>
          <w:rFonts w:ascii="Calibri" w:cs="Calibri" w:eastAsia="Calibri" w:hAnsi="Calibri"/>
          <w:sz w:val="21"/>
          <w:szCs w:val="21"/>
        </w:rPr>
        <w:t xml:space="preserve">39. Timing a Nonqualified Deferred Compensation (§409A) Distribution Election</w:t>
      </w:r>
    </w:p>
    <w:p>
      <w:pPr>
        <w:pStyle w:val="ListParagraph"/>
        <w:numPr>
          <w:ilvl w:val="0"/>
          <w:numId w:val="2"/>
        </w:numPr>
        <w:spacing w:after="60" w:line="276"/>
      </w:pPr>
      <w:r>
        <w:rPr>
          <w:rFonts w:ascii="Calibri" w:cs="Calibri" w:eastAsia="Calibri" w:hAnsi="Calibri"/>
          <w:sz w:val="21"/>
          <w:szCs w:val="21"/>
        </w:rPr>
        <w:t xml:space="preserve">43. Cryptocurrency Loss Harvesting Without the Wash-Sale Rule</w:t>
      </w:r>
    </w:p>
    <w:p>
      <w:pPr>
        <w:pStyle w:val="ListParagraph"/>
        <w:numPr>
          <w:ilvl w:val="0"/>
          <w:numId w:val="2"/>
        </w:numPr>
        <w:spacing w:after="60" w:line="276"/>
      </w:pPr>
      <w:r>
        <w:rPr>
          <w:rFonts w:ascii="Calibri" w:cs="Calibri" w:eastAsia="Calibri" w:hAnsi="Calibri"/>
          <w:sz w:val="21"/>
          <w:szCs w:val="21"/>
        </w:rPr>
        <w:t xml:space="preserve">44. The § 475(f) Mark-to-Market Election for Active Traders</w:t>
      </w:r>
    </w:p>
    <w:p>
      <w:pPr>
        <w:pStyle w:val="ListParagraph"/>
        <w:numPr>
          <w:ilvl w:val="0"/>
          <w:numId w:val="2"/>
        </w:numPr>
        <w:spacing w:after="60" w:line="276"/>
      </w:pPr>
      <w:r>
        <w:rPr>
          <w:rFonts w:ascii="Calibri" w:cs="Calibri" w:eastAsia="Calibri" w:hAnsi="Calibri"/>
          <w:sz w:val="21"/>
          <w:szCs w:val="21"/>
        </w:rPr>
        <w:t xml:space="preserve">52. The Foreign Earned Income Exclusion (§911) for Americans Working Abroad</w:t>
      </w:r>
    </w:p>
    <w:p>
      <w:pPr>
        <w:pStyle w:val="ListParagraph"/>
        <w:numPr>
          <w:ilvl w:val="0"/>
          <w:numId w:val="2"/>
        </w:numPr>
        <w:spacing w:after="60" w:line="276"/>
      </w:pPr>
      <w:r>
        <w:rPr>
          <w:rFonts w:ascii="Calibri" w:cs="Calibri" w:eastAsia="Calibri" w:hAnsi="Calibri"/>
          <w:sz w:val="21"/>
          <w:szCs w:val="21"/>
        </w:rPr>
        <w:t xml:space="preserve">54. The Foreign Tax Credit for Taxes Paid to a Foreign Government</w:t>
      </w:r>
    </w:p>
    <w:p>
      <w:pPr>
        <w:pStyle w:val="ListParagraph"/>
        <w:numPr>
          <w:ilvl w:val="0"/>
          <w:numId w:val="2"/>
        </w:numPr>
        <w:spacing w:after="60" w:line="276"/>
      </w:pPr>
      <w:r>
        <w:rPr>
          <w:rFonts w:ascii="Calibri" w:cs="Calibri" w:eastAsia="Calibri" w:hAnsi="Calibri"/>
          <w:sz w:val="21"/>
          <w:szCs w:val="21"/>
        </w:rPr>
        <w:t xml:space="preserve">55. Borrowing Against Appreciated Securities Instead of Selling</w:t>
      </w:r>
    </w:p>
    <w:p>
      <w:pPr>
        <w:pStyle w:val="ListParagraph"/>
        <w:numPr>
          <w:ilvl w:val="0"/>
          <w:numId w:val="2"/>
        </w:numPr>
        <w:spacing w:after="60" w:line="276"/>
      </w:pPr>
      <w:r>
        <w:rPr>
          <w:rFonts w:ascii="Calibri" w:cs="Calibri" w:eastAsia="Calibri" w:hAnsi="Calibri"/>
          <w:sz w:val="21"/>
          <w:szCs w:val="21"/>
        </w:rPr>
        <w:t xml:space="preserve">59. The Investment Interest Expense Deduction and Its Carryforward (Form 4952)</w:t>
      </w:r>
    </w:p>
    <w:p>
      <w:pPr>
        <w:pStyle w:val="ListParagraph"/>
        <w:numPr>
          <w:ilvl w:val="0"/>
          <w:numId w:val="2"/>
        </w:numPr>
        <w:spacing w:after="60" w:line="276"/>
      </w:pPr>
      <w:r>
        <w:rPr>
          <w:rFonts w:ascii="Calibri" w:cs="Calibri" w:eastAsia="Calibri" w:hAnsi="Calibri"/>
          <w:sz w:val="21"/>
          <w:szCs w:val="21"/>
        </w:rPr>
        <w:t xml:space="preserve">60. Investing Through a Self-Directed Roth IRA in a Private Business</w:t>
      </w:r>
    </w:p>
    <w:p>
      <w:pPr>
        <w:pStyle w:val="ListParagraph"/>
        <w:numPr>
          <w:ilvl w:val="0"/>
          <w:numId w:val="2"/>
        </w:numPr>
        <w:spacing w:after="60" w:line="276"/>
      </w:pPr>
      <w:r>
        <w:rPr>
          <w:rFonts w:ascii="Calibri" w:cs="Calibri" w:eastAsia="Calibri" w:hAnsi="Calibri"/>
          <w:sz w:val="21"/>
          <w:szCs w:val="21"/>
        </w:rPr>
        <w:t xml:space="preserve">61. Fixing the RSU Withholding Gap Through Form W-4</w:t>
      </w:r>
    </w:p>
    <w:p>
      <w:pPr>
        <w:pStyle w:val="ListParagraph"/>
        <w:numPr>
          <w:ilvl w:val="0"/>
          <w:numId w:val="2"/>
        </w:numPr>
        <w:spacing w:after="60" w:line="276"/>
      </w:pPr>
      <w:r>
        <w:rPr>
          <w:rFonts w:ascii="Calibri" w:cs="Calibri" w:eastAsia="Calibri" w:hAnsi="Calibri"/>
          <w:sz w:val="21"/>
          <w:szCs w:val="21"/>
        </w:rPr>
        <w:t xml:space="preserve">68. Investing for Federal Tax Credits Through Low-Income Housing Syndication</w:t>
      </w:r>
    </w:p>
    <w:p>
      <w:pPr>
        <w:pStyle w:val="ListParagraph"/>
        <w:numPr>
          <w:ilvl w:val="0"/>
          <w:numId w:val="2"/>
        </w:numPr>
        <w:spacing w:after="60" w:line="276"/>
      </w:pPr>
      <w:r>
        <w:rPr>
          <w:rFonts w:ascii="Calibri" w:cs="Calibri" w:eastAsia="Calibri" w:hAnsi="Calibri"/>
          <w:sz w:val="21"/>
          <w:szCs w:val="21"/>
        </w:rPr>
        <w:t xml:space="preserve">78. Trump Accounts for Tax-Deferred Savings on Behalf of a Child</w:t>
      </w:r>
    </w:p>
    <w:p>
      <w:pPr>
        <w:pStyle w:val="ListParagraph"/>
        <w:numPr>
          <w:ilvl w:val="0"/>
          <w:numId w:val="2"/>
        </w:numPr>
        <w:spacing w:after="60" w:line="276"/>
      </w:pPr>
      <w:r>
        <w:rPr>
          <w:rFonts w:ascii="Calibri" w:cs="Calibri" w:eastAsia="Calibri" w:hAnsi="Calibri"/>
          <w:sz w:val="21"/>
          <w:szCs w:val="21"/>
        </w:rPr>
        <w:t xml:space="preserve">81. Employing Your Own Minor Children in the Family Business</w:t>
      </w:r>
    </w:p>
    <w:p>
      <w:pPr>
        <w:pStyle w:val="ListParagraph"/>
        <w:numPr>
          <w:ilvl w:val="0"/>
          <w:numId w:val="2"/>
        </w:numPr>
        <w:spacing w:after="60" w:line="276"/>
      </w:pPr>
      <w:r>
        <w:rPr>
          <w:rFonts w:ascii="Calibri" w:cs="Calibri" w:eastAsia="Calibri" w:hAnsi="Calibri"/>
          <w:sz w:val="21"/>
          <w:szCs w:val="21"/>
        </w:rPr>
        <w:t xml:space="preserve">83. The ABLE Account for a Disabled Family Member's Tax-Advantaged Savings</w:t>
      </w:r>
    </w:p>
    <w:p>
      <w:pPr>
        <w:pStyle w:val="ListParagraph"/>
        <w:numPr>
          <w:ilvl w:val="0"/>
          <w:numId w:val="2"/>
        </w:numPr>
        <w:spacing w:after="60" w:line="276"/>
      </w:pPr>
      <w:r>
        <w:rPr>
          <w:rFonts w:ascii="Calibri" w:cs="Calibri" w:eastAsia="Calibri" w:hAnsi="Calibri"/>
          <w:sz w:val="21"/>
          <w:szCs w:val="21"/>
        </w:rPr>
        <w:t xml:space="preserve">84. Timing Income and Gains Before a Move to a Higher-Tax State</w:t>
      </w:r>
    </w:p>
    <w:p>
      <w:pPr>
        <w:pStyle w:val="ListParagraph"/>
        <w:numPr>
          <w:ilvl w:val="0"/>
          <w:numId w:val="2"/>
        </w:numPr>
        <w:spacing w:after="60" w:line="276"/>
      </w:pPr>
      <w:r>
        <w:rPr>
          <w:rFonts w:ascii="Calibri" w:cs="Calibri" w:eastAsia="Calibri" w:hAnsi="Calibri"/>
          <w:sz w:val="21"/>
          <w:szCs w:val="21"/>
        </w:rPr>
        <w:t xml:space="preserve">85. Using the Annualized Income Installment Method for Lumpy Income</w:t>
      </w:r>
    </w:p>
    <w:p>
      <w:pPr>
        <w:pStyle w:val="ListParagraph"/>
        <w:numPr>
          <w:ilvl w:val="0"/>
          <w:numId w:val="2"/>
        </w:numPr>
        <w:spacing w:after="60" w:line="276"/>
      </w:pPr>
      <w:r>
        <w:rPr>
          <w:rFonts w:ascii="Calibri" w:cs="Calibri" w:eastAsia="Calibri" w:hAnsi="Calibri"/>
          <w:sz w:val="21"/>
          <w:szCs w:val="21"/>
        </w:rPr>
        <w:t xml:space="preserve">86. Claiming the Excess Social Security Tax Credit With Multiple Employers</w:t>
      </w:r>
    </w:p>
    <w:p>
      <w:pPr>
        <w:pStyle w:val="ListParagraph"/>
        <w:numPr>
          <w:ilvl w:val="0"/>
          <w:numId w:val="2"/>
        </w:numPr>
        <w:spacing w:after="60" w:line="276"/>
      </w:pPr>
      <w:r>
        <w:rPr>
          <w:rFonts w:ascii="Calibri" w:cs="Calibri" w:eastAsia="Calibri" w:hAnsi="Calibri"/>
          <w:sz w:val="21"/>
          <w:szCs w:val="21"/>
        </w:rPr>
        <w:t xml:space="preserve">95. Claiming a Credit for Taxes Paid to Another State to Avoid Double Taxation</w:t>
      </w:r>
    </w:p>
    <w:p>
      <w:pPr>
        <w:pStyle w:val="ListParagraph"/>
        <w:numPr>
          <w:ilvl w:val="0"/>
          <w:numId w:val="2"/>
        </w:numPr>
        <w:spacing w:after="60" w:line="276"/>
      </w:pPr>
      <w:r>
        <w:rPr>
          <w:rFonts w:ascii="Calibri" w:cs="Calibri" w:eastAsia="Calibri" w:hAnsi="Calibri"/>
          <w:sz w:val="21"/>
          <w:szCs w:val="21"/>
        </w:rPr>
        <w:t xml:space="preserve">99. The Combined 401(k) Employee Deferral Limit Applies Across Traditional and Roth Contributions</w:t>
      </w:r>
    </w:p>
    <w:p>
      <w:pPr>
        <w:pStyle w:val="ListParagraph"/>
        <w:numPr>
          <w:ilvl w:val="0"/>
          <w:numId w:val="2"/>
        </w:numPr>
        <w:spacing w:after="60" w:line="276"/>
      </w:pPr>
      <w:r>
        <w:rPr>
          <w:rFonts w:ascii="Calibri" w:cs="Calibri" w:eastAsia="Calibri" w:hAnsi="Calibri"/>
          <w:sz w:val="21"/>
          <w:szCs w:val="21"/>
        </w:rPr>
        <w:t xml:space="preserve">100. Negotiating the Purchase-Price Allocation (Form 8594) to Maximize Capital-Gain Treatment on a Business Sale</w:t>
      </w:r>
    </w:p>
    <w:p>
      <w:pPr>
        <w:pStyle w:val="ListParagraph"/>
        <w:numPr>
          <w:ilvl w:val="0"/>
          <w:numId w:val="2"/>
        </w:numPr>
        <w:spacing w:after="60" w:line="276"/>
      </w:pPr>
      <w:r>
        <w:rPr>
          <w:rFonts w:ascii="Calibri" w:cs="Calibri" w:eastAsia="Calibri" w:hAnsi="Calibri"/>
          <w:sz w:val="21"/>
          <w:szCs w:val="21"/>
        </w:rPr>
        <w:t xml:space="preserve">101. Adopting a Retroactive Retirement Plan by the Extended Filing Deadline (SECURE 2.0)</w:t>
      </w:r>
    </w:p>
    <w:p>
      <w:pPr>
        <w:pStyle w:val="Heading2"/>
        <w:spacing w:after="80" w:before="200"/>
      </w:pPr>
      <w:r>
        <w:rPr>
          <w:rFonts w:ascii="Calibri" w:cs="Calibri" w:eastAsia="Calibri" w:hAnsi="Calibri"/>
          <w:b/>
          <w:bCs/>
          <w:color w:val="2E5496"/>
          <w:sz w:val="24"/>
          <w:szCs w:val="24"/>
        </w:rPr>
        <w:t xml:space="preserve">IRS Compliance &amp; Risk Management</w:t>
      </w:r>
    </w:p>
    <w:p>
      <w:pPr>
        <w:pStyle w:val="ListParagraph"/>
        <w:numPr>
          <w:ilvl w:val="0"/>
          <w:numId w:val="2"/>
        </w:numPr>
        <w:spacing w:after="60" w:line="276"/>
      </w:pPr>
      <w:r>
        <w:rPr>
          <w:rFonts w:ascii="Calibri" w:cs="Calibri" w:eastAsia="Calibri" w:hAnsi="Calibri"/>
          <w:sz w:val="21"/>
          <w:szCs w:val="21"/>
        </w:rPr>
        <w:t xml:space="preserve">10. Verifying Tax Data Against IRS Transcripts Before Filing or Planning</w:t>
      </w:r>
    </w:p>
    <w:p>
      <w:pPr>
        <w:pStyle w:val="ListParagraph"/>
        <w:numPr>
          <w:ilvl w:val="0"/>
          <w:numId w:val="2"/>
        </w:numPr>
        <w:spacing w:after="60" w:line="276"/>
      </w:pPr>
      <w:r>
        <w:rPr>
          <w:rFonts w:ascii="Calibri" w:cs="Calibri" w:eastAsia="Calibri" w:hAnsi="Calibri"/>
          <w:sz w:val="21"/>
          <w:szCs w:val="21"/>
        </w:rPr>
        <w:t xml:space="preserve">14. Eliminating Estimated-Tax Penalties Through Payroll Withholding Timing</w:t>
      </w:r>
    </w:p>
    <w:p>
      <w:pPr>
        <w:pStyle w:val="ListParagraph"/>
        <w:numPr>
          <w:ilvl w:val="0"/>
          <w:numId w:val="2"/>
        </w:numPr>
        <w:spacing w:after="60" w:line="276"/>
      </w:pPr>
      <w:r>
        <w:rPr>
          <w:rFonts w:ascii="Calibri" w:cs="Calibri" w:eastAsia="Calibri" w:hAnsi="Calibri"/>
          <w:sz w:val="21"/>
          <w:szCs w:val="21"/>
        </w:rPr>
        <w:t xml:space="preserve">28. The Six-Year Voluntary Compliance Window for Late-Filed Returns</w:t>
      </w:r>
    </w:p>
    <w:p>
      <w:pPr>
        <w:pStyle w:val="ListParagraph"/>
        <w:numPr>
          <w:ilvl w:val="0"/>
          <w:numId w:val="2"/>
        </w:numPr>
        <w:spacing w:after="60" w:line="276"/>
      </w:pPr>
      <w:r>
        <w:rPr>
          <w:rFonts w:ascii="Calibri" w:cs="Calibri" w:eastAsia="Calibri" w:hAnsi="Calibri"/>
          <w:sz w:val="21"/>
          <w:szCs w:val="21"/>
        </w:rPr>
        <w:t xml:space="preserve">29. Getting a Misapplied IRS Payment Correctly Credited</w:t>
      </w:r>
    </w:p>
    <w:p>
      <w:pPr>
        <w:pStyle w:val="ListParagraph"/>
        <w:numPr>
          <w:ilvl w:val="0"/>
          <w:numId w:val="2"/>
        </w:numPr>
        <w:spacing w:after="60" w:line="276"/>
      </w:pPr>
      <w:r>
        <w:rPr>
          <w:rFonts w:ascii="Calibri" w:cs="Calibri" w:eastAsia="Calibri" w:hAnsi="Calibri"/>
          <w:sz w:val="21"/>
          <w:szCs w:val="21"/>
        </w:rPr>
        <w:t xml:space="preserve">30. Pursuing IRS Penalty Abatement</w:t>
      </w:r>
    </w:p>
    <w:p>
      <w:pPr>
        <w:pStyle w:val="ListParagraph"/>
        <w:numPr>
          <w:ilvl w:val="0"/>
          <w:numId w:val="2"/>
        </w:numPr>
        <w:spacing w:after="60" w:line="276"/>
      </w:pPr>
      <w:r>
        <w:rPr>
          <w:rFonts w:ascii="Calibri" w:cs="Calibri" w:eastAsia="Calibri" w:hAnsi="Calibri"/>
          <w:sz w:val="21"/>
          <w:szCs w:val="21"/>
        </w:rPr>
        <w:t xml:space="preserve">31. Trust Fund Recovery Penalty Exposure for Responsible Persons</w:t>
      </w:r>
    </w:p>
    <w:p>
      <w:pPr>
        <w:pStyle w:val="ListParagraph"/>
        <w:numPr>
          <w:ilvl w:val="0"/>
          <w:numId w:val="2"/>
        </w:numPr>
        <w:spacing w:after="60" w:line="276"/>
      </w:pPr>
      <w:r>
        <w:rPr>
          <w:rFonts w:ascii="Calibri" w:cs="Calibri" w:eastAsia="Calibri" w:hAnsi="Calibri"/>
          <w:sz w:val="21"/>
          <w:szCs w:val="21"/>
        </w:rPr>
        <w:t xml:space="preserve">42. Electing a Higher Withholding Rate on Supplemental Wages</w:t>
      </w:r>
    </w:p>
    <w:p>
      <w:pPr>
        <w:pStyle w:val="ListParagraph"/>
        <w:numPr>
          <w:ilvl w:val="0"/>
          <w:numId w:val="2"/>
        </w:numPr>
        <w:spacing w:after="60" w:line="276"/>
      </w:pPr>
      <w:r>
        <w:rPr>
          <w:rFonts w:ascii="Calibri" w:cs="Calibri" w:eastAsia="Calibri" w:hAnsi="Calibri"/>
          <w:sz w:val="21"/>
          <w:szCs w:val="21"/>
        </w:rPr>
        <w:t xml:space="preserve">66. The § 530 Safe Harbor for Worker Classification</w:t>
      </w:r>
    </w:p>
    <w:p>
      <w:pPr>
        <w:pStyle w:val="ListParagraph"/>
        <w:numPr>
          <w:ilvl w:val="0"/>
          <w:numId w:val="2"/>
        </w:numPr>
        <w:spacing w:after="60" w:line="276"/>
      </w:pPr>
      <w:r>
        <w:rPr>
          <w:rFonts w:ascii="Calibri" w:cs="Calibri" w:eastAsia="Calibri" w:hAnsi="Calibri"/>
          <w:sz w:val="21"/>
          <w:szCs w:val="21"/>
        </w:rPr>
        <w:t xml:space="preserve">91. Filing a Superseding Return Instead of an Amended Return</w:t>
      </w:r>
    </w:p>
    <w:p>
      <w:pPr>
        <w:pStyle w:val="ListParagraph"/>
        <w:numPr>
          <w:ilvl w:val="0"/>
          <w:numId w:val="2"/>
        </w:numPr>
        <w:spacing w:after="60" w:line="276"/>
      </w:pPr>
      <w:r>
        <w:rPr>
          <w:rFonts w:ascii="Calibri" w:cs="Calibri" w:eastAsia="Calibri" w:hAnsi="Calibri"/>
          <w:sz w:val="21"/>
          <w:szCs w:val="21"/>
        </w:rPr>
        <w:t xml:space="preserve">92. The §267 Related-Party Timing Rule and Retroactive Wage Deductions</w:t>
      </w:r>
    </w:p>
    <w:p>
      <w:pPr>
        <w:pStyle w:val="ListParagraph"/>
        <w:numPr>
          <w:ilvl w:val="0"/>
          <w:numId w:val="2"/>
        </w:numPr>
        <w:spacing w:after="60" w:line="276"/>
      </w:pPr>
      <w:r>
        <w:rPr>
          <w:rFonts w:ascii="Calibri" w:cs="Calibri" w:eastAsia="Calibri" w:hAnsi="Calibri"/>
          <w:sz w:val="21"/>
          <w:szCs w:val="21"/>
        </w:rPr>
        <w:t xml:space="preserve">96. Imputing AFR Interest on Below-Market Related-Party Loans</w:t>
      </w:r>
    </w:p>
    <w:p>
      <w:pPr>
        <w:pStyle w:val="ListParagraph"/>
        <w:numPr>
          <w:ilvl w:val="0"/>
          <w:numId w:val="2"/>
        </w:numPr>
        <w:spacing w:after="60" w:line="276"/>
      </w:pPr>
      <w:r>
        <w:rPr>
          <w:rFonts w:ascii="Calibri" w:cs="Calibri" w:eastAsia="Calibri" w:hAnsi="Calibri"/>
          <w:sz w:val="21"/>
          <w:szCs w:val="21"/>
        </w:rPr>
        <w:t xml:space="preserve">97. Related-Party Property Purchases Disqualify Bonus Depreciation and §179, Even Through an LLC Wrapper</w:t>
      </w:r>
    </w:p>
    <w:p>
      <w:pPr>
        <w:pStyle w:val="ListParagraph"/>
        <w:numPr>
          <w:ilvl w:val="0"/>
          <w:numId w:val="2"/>
        </w:numPr>
        <w:spacing w:after="60" w:line="276"/>
      </w:pPr>
      <w:r>
        <w:rPr>
          <w:rFonts w:ascii="Calibri" w:cs="Calibri" w:eastAsia="Calibri" w:hAnsi="Calibri"/>
          <w:sz w:val="21"/>
          <w:szCs w:val="21"/>
        </w:rPr>
        <w:t xml:space="preserve">98. Why an S-Corporation Owner-Employee Must Be Paid on a W-2, Not as a 1099 Contractor</w:t>
      </w:r>
    </w:p>
    <w:p>
      <w:pPr>
        <w:pStyle w:val="Heading2"/>
        <w:spacing w:after="80" w:before="200"/>
      </w:pPr>
      <w:r>
        <w:rPr>
          <w:rFonts w:ascii="Calibri" w:cs="Calibri" w:eastAsia="Calibri" w:hAnsi="Calibri"/>
          <w:b/>
          <w:bCs/>
          <w:color w:val="2E5496"/>
          <w:sz w:val="24"/>
          <w:szCs w:val="24"/>
        </w:rPr>
        <w:t xml:space="preserve">Schedule C / Sole Proprietor</w:t>
      </w:r>
    </w:p>
    <w:p>
      <w:pPr>
        <w:pStyle w:val="ListParagraph"/>
        <w:numPr>
          <w:ilvl w:val="0"/>
          <w:numId w:val="2"/>
        </w:numPr>
        <w:spacing w:after="60" w:line="276"/>
      </w:pPr>
      <w:r>
        <w:rPr>
          <w:rFonts w:ascii="Calibri" w:cs="Calibri" w:eastAsia="Calibri" w:hAnsi="Calibri"/>
          <w:sz w:val="21"/>
          <w:szCs w:val="21"/>
        </w:rPr>
        <w:t xml:space="preserve">17. Timing the S-Corporation Election to Its Breakeven Point</w:t>
      </w:r>
    </w:p>
    <w:p>
      <w:pPr>
        <w:pStyle w:val="ListParagraph"/>
        <w:numPr>
          <w:ilvl w:val="0"/>
          <w:numId w:val="2"/>
        </w:numPr>
        <w:spacing w:after="60" w:line="276"/>
      </w:pPr>
      <w:r>
        <w:rPr>
          <w:rFonts w:ascii="Calibri" w:cs="Calibri" w:eastAsia="Calibri" w:hAnsi="Calibri"/>
          <w:sz w:val="21"/>
          <w:szCs w:val="21"/>
        </w:rPr>
        <w:t xml:space="preserve">33. Maximizing the Qualified Business Income (QBI) Deduction Through a Wage True-Up</w:t>
      </w:r>
    </w:p>
    <w:p>
      <w:pPr>
        <w:pStyle w:val="ListParagraph"/>
        <w:numPr>
          <w:ilvl w:val="0"/>
          <w:numId w:val="2"/>
        </w:numPr>
        <w:spacing w:after="60" w:line="276"/>
      </w:pPr>
      <w:r>
        <w:rPr>
          <w:rFonts w:ascii="Calibri" w:cs="Calibri" w:eastAsia="Calibri" w:hAnsi="Calibri"/>
          <w:sz w:val="21"/>
          <w:szCs w:val="21"/>
        </w:rPr>
        <w:t xml:space="preserve">40. Establishing a Pre-Revenue Activity as a Legitimate Trade or Business</w:t>
      </w:r>
    </w:p>
    <w:p>
      <w:pPr>
        <w:pStyle w:val="ListParagraph"/>
        <w:numPr>
          <w:ilvl w:val="0"/>
          <w:numId w:val="2"/>
        </w:numPr>
        <w:spacing w:after="60" w:line="276"/>
      </w:pPr>
      <w:r>
        <w:rPr>
          <w:rFonts w:ascii="Calibri" w:cs="Calibri" w:eastAsia="Calibri" w:hAnsi="Calibri"/>
          <w:sz w:val="21"/>
          <w:szCs w:val="21"/>
        </w:rPr>
        <w:t xml:space="preserve">41. Routing 1099 Severance or Consulting Income Through a New LLC</w:t>
      </w:r>
    </w:p>
    <w:p>
      <w:pPr>
        <w:pStyle w:val="ListParagraph"/>
        <w:numPr>
          <w:ilvl w:val="0"/>
          <w:numId w:val="2"/>
        </w:numPr>
        <w:spacing w:after="60" w:line="276"/>
      </w:pPr>
      <w:r>
        <w:rPr>
          <w:rFonts w:ascii="Calibri" w:cs="Calibri" w:eastAsia="Calibri" w:hAnsi="Calibri"/>
          <w:sz w:val="21"/>
          <w:szCs w:val="21"/>
        </w:rPr>
        <w:t xml:space="preserve">47. The Specified Service Trade or Business (SSTB) Exclusion from the QBI Deduction</w:t>
      </w:r>
    </w:p>
    <w:p>
      <w:pPr>
        <w:pStyle w:val="ListParagraph"/>
        <w:numPr>
          <w:ilvl w:val="0"/>
          <w:numId w:val="2"/>
        </w:numPr>
        <w:spacing w:after="60" w:line="276"/>
      </w:pPr>
      <w:r>
        <w:rPr>
          <w:rFonts w:ascii="Calibri" w:cs="Calibri" w:eastAsia="Calibri" w:hAnsi="Calibri"/>
          <w:sz w:val="21"/>
          <w:szCs w:val="21"/>
        </w:rPr>
        <w:t xml:space="preserve">87. Separating Non-SSTB Revenue Into a New Entity to Preserve the QBI Deduction</w:t>
      </w:r>
    </w:p>
    <w:p>
      <w:pPr>
        <w:pStyle w:val="ListParagraph"/>
        <w:numPr>
          <w:ilvl w:val="0"/>
          <w:numId w:val="2"/>
        </w:numPr>
        <w:spacing w:after="60" w:line="276"/>
      </w:pPr>
      <w:r>
        <w:rPr>
          <w:rFonts w:ascii="Calibri" w:cs="Calibri" w:eastAsia="Calibri" w:hAnsi="Calibri"/>
          <w:sz w:val="21"/>
          <w:szCs w:val="21"/>
        </w:rPr>
        <w:t xml:space="preserve">90. Net Operating Loss Carryforwards and Why They Don't Reduce Self-Employment Tax</w:t>
      </w:r>
    </w:p>
    <w:p>
      <w:pPr>
        <w:pStyle w:val="Heading2"/>
        <w:spacing w:after="80" w:before="200"/>
      </w:pPr>
      <w:r>
        <w:rPr>
          <w:rFonts w:ascii="Calibri" w:cs="Calibri" w:eastAsia="Calibri" w:hAnsi="Calibri"/>
          <w:b/>
          <w:bCs/>
          <w:color w:val="2E5496"/>
          <w:sz w:val="24"/>
          <w:szCs w:val="24"/>
        </w:rPr>
        <w:t xml:space="preserve">Charitable &amp; Estate</w:t>
      </w:r>
    </w:p>
    <w:p>
      <w:pPr>
        <w:pStyle w:val="ListParagraph"/>
        <w:numPr>
          <w:ilvl w:val="0"/>
          <w:numId w:val="2"/>
        </w:numPr>
        <w:spacing w:after="60" w:line="276"/>
      </w:pPr>
      <w:r>
        <w:rPr>
          <w:rFonts w:ascii="Calibri" w:cs="Calibri" w:eastAsia="Calibri" w:hAnsi="Calibri"/>
          <w:sz w:val="21"/>
          <w:szCs w:val="21"/>
        </w:rPr>
        <w:t xml:space="preserve">20. Donating Appreciated Securities Through a Donor-Advised Fund</w:t>
      </w:r>
    </w:p>
    <w:p>
      <w:pPr>
        <w:pStyle w:val="ListParagraph"/>
        <w:numPr>
          <w:ilvl w:val="0"/>
          <w:numId w:val="2"/>
        </w:numPr>
        <w:spacing w:after="60" w:line="276"/>
      </w:pPr>
      <w:r>
        <w:rPr>
          <w:rFonts w:ascii="Calibri" w:cs="Calibri" w:eastAsia="Calibri" w:hAnsi="Calibri"/>
          <w:sz w:val="21"/>
          <w:szCs w:val="21"/>
        </w:rPr>
        <w:t xml:space="preserve">23. 529 Plan Superfunding: The Five-Year Gift-Tax Election</w:t>
      </w:r>
    </w:p>
    <w:p>
      <w:pPr>
        <w:pStyle w:val="ListParagraph"/>
        <w:numPr>
          <w:ilvl w:val="0"/>
          <w:numId w:val="2"/>
        </w:numPr>
        <w:spacing w:after="60" w:line="276"/>
      </w:pPr>
      <w:r>
        <w:rPr>
          <w:rFonts w:ascii="Calibri" w:cs="Calibri" w:eastAsia="Calibri" w:hAnsi="Calibri"/>
          <w:sz w:val="21"/>
          <w:szCs w:val="21"/>
        </w:rPr>
        <w:t xml:space="preserve">37. Gifting Minority Business Interests Before a Priced Funding Round</w:t>
      </w:r>
    </w:p>
    <w:p>
      <w:pPr>
        <w:pStyle w:val="ListParagraph"/>
        <w:numPr>
          <w:ilvl w:val="0"/>
          <w:numId w:val="2"/>
        </w:numPr>
        <w:spacing w:after="60" w:line="276"/>
      </w:pPr>
      <w:r>
        <w:rPr>
          <w:rFonts w:ascii="Calibri" w:cs="Calibri" w:eastAsia="Calibri" w:hAnsi="Calibri"/>
          <w:sz w:val="21"/>
          <w:szCs w:val="21"/>
        </w:rPr>
        <w:t xml:space="preserve">64. Paying Tuition or Medical Expenses Directly to Avoid Gift Tax</w:t>
      </w:r>
    </w:p>
    <w:p>
      <w:pPr>
        <w:pStyle w:val="ListParagraph"/>
        <w:numPr>
          <w:ilvl w:val="0"/>
          <w:numId w:val="2"/>
        </w:numPr>
        <w:spacing w:after="60" w:line="276"/>
      </w:pPr>
      <w:r>
        <w:rPr>
          <w:rFonts w:ascii="Calibri" w:cs="Calibri" w:eastAsia="Calibri" w:hAnsi="Calibri"/>
          <w:sz w:val="21"/>
          <w:szCs w:val="21"/>
        </w:rPr>
        <w:t xml:space="preserve">78. Trump Accounts for Tax-Deferred Savings on Behalf of a Child</w:t>
      </w:r>
    </w:p>
    <w:p>
      <w:pPr>
        <w:pStyle w:val="ListParagraph"/>
        <w:numPr>
          <w:ilvl w:val="0"/>
          <w:numId w:val="2"/>
        </w:numPr>
        <w:spacing w:after="60" w:line="276"/>
      </w:pPr>
      <w:r>
        <w:rPr>
          <w:rFonts w:ascii="Calibri" w:cs="Calibri" w:eastAsia="Calibri" w:hAnsi="Calibri"/>
          <w:sz w:val="21"/>
          <w:szCs w:val="21"/>
        </w:rPr>
        <w:t xml:space="preserve">83. The ABLE Account for a Disabled Family Member's Tax-Advantaged Savings</w:t>
      </w:r>
    </w:p>
    <w:p>
      <w:pPr>
        <w:pStyle w:val="ListParagraph"/>
        <w:numPr>
          <w:ilvl w:val="0"/>
          <w:numId w:val="2"/>
        </w:numPr>
        <w:spacing w:after="60" w:line="276"/>
      </w:pPr>
      <w:r>
        <w:rPr>
          <w:rFonts w:ascii="Calibri" w:cs="Calibri" w:eastAsia="Calibri" w:hAnsi="Calibri"/>
          <w:sz w:val="21"/>
          <w:szCs w:val="21"/>
        </w:rPr>
        <w:t xml:space="preserve">88. A Special Needs Trust to Provide for a Disabled Family Member</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1. Reasonable Compensation for S-Corporation Owners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w:t>
      </w:r>
    </w:p>
    <w:p>
      <w:pPr>
        <w:spacing w:after="140" w:line="276"/>
      </w:pPr>
      <w:r>
        <w:rPr>
          <w:rFonts w:ascii="Calibri" w:cs="Calibri" w:eastAsia="Calibri" w:hAnsi="Calibri"/>
          <w:sz w:val="21"/>
          <w:szCs w:val="21"/>
        </w:rPr>
        <w:t xml:space="preserve">When a business is organized as an S corporation and its owner also works in the business, the owner is paid in two different ways: a W-2 salary for the work performed (like any employee), and separate profit distributions as a shareholder. Only the salary portion is subject to Social Security and Medicare tax (together called "payroll tax" or "FICA tax," currently 15.3% split between employer and employee up to a wage base, with the Medicare portion continuing above it). Distributions are not subject to payroll tax at all. Because of this, the IRS requires that the salary paid to an owner-employee be "reasonable" — meaning close to what an unrelated business would pay someone else to do the same job. This rule exists specifically to prevent owners from underpaying themselves in wages and overpaying themselves in distributions purely to avoid payroll tax.</w:t>
      </w:r>
    </w:p>
    <w:p>
      <w:pPr>
        <w:pStyle w:val="Heading2"/>
        <w:spacing w:after="80" w:before="200"/>
      </w:pPr>
      <w:r>
        <w:rPr>
          <w:rFonts w:ascii="Calibri" w:cs="Calibri" w:eastAsia="Calibri" w:hAnsi="Calibri"/>
          <w:b/>
          <w:bCs/>
          <w:color w:val="2E5496"/>
          <w:sz w:val="24"/>
          <w:szCs w:val="24"/>
        </w:rPr>
        <w:t xml:space="preserve">How the Strategy Works and Why It Matters</w:t>
      </w:r>
    </w:p>
    <w:p>
      <w:pPr>
        <w:spacing w:after="140" w:line="276"/>
      </w:pPr>
      <w:r>
        <w:rPr>
          <w:rFonts w:ascii="Calibri" w:cs="Calibri" w:eastAsia="Calibri" w:hAnsi="Calibri"/>
          <w:sz w:val="21"/>
          <w:szCs w:val="21"/>
        </w:rPr>
        <w:t xml:space="preserve">The core idea is simple: an S-corp owner who works in the business must be treated as an employee first. The business calculates what a reasonable salary would be for that role — based on the owner’s duties, hours, experience, and what similar positions pay in the same industry and region — and pays that amount through normal payroll, withholding income tax and FICA tax exactly as it would for any other employee. Only after that salary is paid can any remaining profit be distributed to the owner as a shareholder distribution, which carries no payroll tax at all.</w:t>
      </w:r>
    </w:p>
    <w:p>
      <w:pPr>
        <w:spacing w:after="140" w:line="276"/>
      </w:pPr>
      <w:r>
        <w:rPr>
          <w:rFonts w:ascii="Calibri" w:cs="Calibri" w:eastAsia="Calibri" w:hAnsi="Calibri"/>
          <w:sz w:val="21"/>
          <w:szCs w:val="21"/>
        </w:rPr>
        <w:t xml:space="preserve">The tax benefit of the S-corp structure comes from this split: every dollar that can legitimately be paid as a distribution instead of salary saves 15.3% in combined payroll tax (subject to the wage-base limit on the Social Security portion). This is a real and legal benefit — it is the reason many profitable owner-operated businesses choose S-corp status in the first place. The strategy only becomes a problem, and a target for IRS enforcement, when the salary portion is set unreasonably low specifically to shift income into the tax-free distribution category.</w:t>
      </w:r>
    </w:p>
    <w:p>
      <w:pPr>
        <w:spacing w:after="140" w:line="276"/>
      </w:pPr>
      <w:r>
        <w:rPr>
          <w:rFonts w:ascii="Calibri" w:cs="Calibri" w:eastAsia="Calibri" w:hAnsi="Calibri"/>
          <w:sz w:val="21"/>
          <w:szCs w:val="21"/>
        </w:rPr>
        <w:t xml:space="preserve">If the IRS examines a return and concludes the salary was unreasonably low, it has the authority to reclassify some or all of the distributions as wages after the fact. That reclassification is retroactive: the business is treated as though it should have withheld and paid payroll tax on that reclassified amount all along, which means back payroll taxes, late-payment and late-filing penalties on payroll tax returns that were never filed for that amount, and interest — assessed years after the original return was filed. For a business with even a modest gap between actual salary and a reasonable salary, this can add up to a substantial liability once penalties and interest are included.</w:t>
      </w:r>
    </w:p>
    <w:p>
      <w:pPr>
        <w:pStyle w:val="ListParagraph"/>
        <w:numPr>
          <w:ilvl w:val="0"/>
          <w:numId w:val="2"/>
        </w:numPr>
        <w:spacing w:after="60" w:line="276"/>
      </w:pPr>
      <w:r>
        <w:rPr>
          <w:rFonts w:ascii="Calibri" w:cs="Calibri" w:eastAsia="Calibri" w:hAnsi="Calibri"/>
          <w:sz w:val="21"/>
          <w:szCs w:val="21"/>
        </w:rPr>
        <w:t xml:space="preserve">Factors used to judge "reasonable" compensation include: the owner’s training and experience, the specific duties performed, the number of hours worked, what comparable businesses pay someone in an equivalent role, what the business pays its own non-owner employees for similar work, and the overall pattern of compensation versus distributions over time.</w:t>
      </w:r>
    </w:p>
    <w:p>
      <w:pPr>
        <w:pStyle w:val="ListParagraph"/>
        <w:numPr>
          <w:ilvl w:val="0"/>
          <w:numId w:val="2"/>
        </w:numPr>
        <w:spacing w:after="60" w:line="276"/>
      </w:pPr>
      <w:r>
        <w:rPr>
          <w:rFonts w:ascii="Calibri" w:cs="Calibri" w:eastAsia="Calibri" w:hAnsi="Calibri"/>
          <w:sz w:val="21"/>
          <w:szCs w:val="21"/>
        </w:rPr>
        <w:t xml:space="preserve">A pattern that reliably draws scrutiny: non-owner employees earning more in wages than the owner does, while the owner simultaneously takes large distributions. This makes it very hard to argue the owner’s low salary reflects the true market value of their work.</w:t>
      </w:r>
    </w:p>
    <w:p>
      <w:pPr>
        <w:pStyle w:val="ListParagraph"/>
        <w:numPr>
          <w:ilvl w:val="0"/>
          <w:numId w:val="2"/>
        </w:numPr>
        <w:spacing w:after="60" w:line="276"/>
      </w:pPr>
      <w:r>
        <w:rPr>
          <w:rFonts w:ascii="Calibri" w:cs="Calibri" w:eastAsia="Calibri" w:hAnsi="Calibri"/>
          <w:sz w:val="21"/>
          <w:szCs w:val="21"/>
        </w:rPr>
        <w:t xml:space="preserve">There is no single safe percentage or formula — courts and the IRS look at the full set of facts every time, so the right approach is to benchmark against real market pay data for the specific role, not to pick an arbitrary round number.</w:t>
      </w:r>
    </w:p>
    <w:p>
      <w:pPr>
        <w:pStyle w:val="ListParagraph"/>
        <w:numPr>
          <w:ilvl w:val="0"/>
          <w:numId w:val="2"/>
        </w:numPr>
        <w:spacing w:after="60" w:line="276"/>
      </w:pPr>
      <w:r>
        <w:rPr>
          <w:rFonts w:ascii="Calibri" w:cs="Calibri" w:eastAsia="Calibri" w:hAnsi="Calibri"/>
          <w:sz w:val="21"/>
          <w:szCs w:val="21"/>
        </w:rPr>
        <w:t xml:space="preserve">The correction, once a salary is found to be too low, is always forward-looking: raise the salary going forward and run it consistently through payroll. Prior years are not amended after the fact — the business simply corrects the practice from that point on.</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Maria owns 100% of a small marketing consultancy organized as an S corporation. She works full-time in the business, but pays herself a salary of only $30,000 per year while taking $150,000 in annual distributions. A marketing consultant with Maria’s experience and hours would typically command $90,000–$110,000 in salary at a comparable firm. On audit, the IRS could reclassify a large portion of Maria’s distributions as wages, assessing back payroll tax on the difference between her actual $30,000 salary and a defensible $90,000–$110,000 figure, plus penalties and interest. The fix is to raise her going-forward salary into that range and run it through normal payroll before the next year-end, rather than continuing to take the bulk of her income as distributions.</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Reasonable compensation is measured per owner, not as a combined household or ownership-group figure. If two owners together pay themselves $80,000 in total salary, that is not the same defense as each owner separately earning $80,000 — a "combined" number that sounds reasonable can still represent a badly underpaid salary once split between two working owners.</w:t>
      </w:r>
    </w:p>
    <w:p>
      <w:pPr>
        <w:pStyle w:val="Heading2"/>
        <w:spacing w:after="80" w:before="200"/>
      </w:pPr>
      <w:r>
        <w:rPr>
          <w:rFonts w:ascii="Calibri" w:cs="Calibri" w:eastAsia="Calibri" w:hAnsi="Calibri"/>
          <w:b/>
          <w:bCs/>
          <w:color w:val="2E5496"/>
          <w:sz w:val="24"/>
          <w:szCs w:val="24"/>
        </w:rPr>
        <w:t xml:space="preserve">Practical Application: Bonuses and Timing</w:t>
      </w:r>
    </w:p>
    <w:p>
      <w:pPr>
        <w:spacing w:after="140" w:line="276"/>
      </w:pPr>
      <w:r>
        <w:rPr>
          <w:rFonts w:ascii="Calibri" w:cs="Calibri" w:eastAsia="Calibri" w:hAnsi="Calibri"/>
          <w:sz w:val="21"/>
          <w:szCs w:val="21"/>
        </w:rPr>
        <w:t xml:space="preserve">Because the reasonable-compensation determination looks at the total wages paid over the year, any year-end bonus intended for an owner-employee should be paid as additional W-2 wages through the payroll system — with the appropriate withholding — rather than as an extra distribution check written outside of payroll. Paying it as wages both reinforces the salary figure the IRS will benchmark against and keeps the payment consistent with how the rest of the owner’s compensation is documented.</w:t>
      </w:r>
    </w:p>
    <w:p>
      <w:pPr>
        <w:pStyle w:val="ListParagraph"/>
        <w:numPr>
          <w:ilvl w:val="0"/>
          <w:numId w:val="2"/>
        </w:numPr>
        <w:spacing w:after="60" w:line="276"/>
      </w:pPr>
      <w:r>
        <w:rPr>
          <w:rFonts w:ascii="Calibri" w:cs="Calibri" w:eastAsia="Calibri" w:hAnsi="Calibri"/>
          <w:sz w:val="21"/>
          <w:szCs w:val="21"/>
        </w:rPr>
        <w:t xml:space="preserve">Run any owner bonus through the payroll provider before the business’s year-end closes, so FICA and income tax withholding are applied and the amount appears on the owner’s W-2.</w:t>
      </w:r>
    </w:p>
    <w:p>
      <w:pPr>
        <w:pStyle w:val="ListParagraph"/>
        <w:numPr>
          <w:ilvl w:val="0"/>
          <w:numId w:val="2"/>
        </w:numPr>
        <w:spacing w:after="60" w:line="276"/>
      </w:pPr>
      <w:r>
        <w:rPr>
          <w:rFonts w:ascii="Calibri" w:cs="Calibri" w:eastAsia="Calibri" w:hAnsi="Calibri"/>
          <w:sz w:val="21"/>
          <w:szCs w:val="21"/>
        </w:rPr>
        <w:t xml:space="preserve">Decide on a target reasonable-compensation figure early in the year (based on market data for the role) rather than waiting until year-end, since payroll systems generally cannot retroactively reclassify money that has already been paid out as a distribution.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2. Cash-Balance Defined-Benefit Retirement Plans for Owner-Heavy Businesses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Retirement Planning  ·  Cross-Entity / General Business</w:t>
      </w:r>
    </w:p>
    <w:p>
      <w:pPr>
        <w:spacing w:after="140" w:line="276"/>
      </w:pPr>
      <w:r>
        <w:rPr>
          <w:rFonts w:ascii="Calibri" w:cs="Calibri" w:eastAsia="Calibri" w:hAnsi="Calibri"/>
          <w:sz w:val="21"/>
          <w:szCs w:val="21"/>
        </w:rPr>
        <w:t xml:space="preserve">A cash-balance plan is a type of qualified retirement plan — legally a defined-benefit pension plan, but administered so it looks and feels like an individual account to each participant. It is designed for exactly one situation: a profitable business where the owners want to shelter far more income from current tax than a standard 401(k) allows, and where there are few enough non-owner employees that funding their smaller required contributions is manageable.</w:t>
      </w:r>
    </w:p>
    <w:p>
      <w:pPr>
        <w:pStyle w:val="Heading2"/>
        <w:spacing w:after="80" w:before="200"/>
      </w:pPr>
      <w:r>
        <w:rPr>
          <w:rFonts w:ascii="Calibri" w:cs="Calibri" w:eastAsia="Calibri" w:hAnsi="Calibri"/>
          <w:b/>
          <w:bCs/>
          <w:color w:val="2E5496"/>
          <w:sz w:val="24"/>
          <w:szCs w:val="24"/>
        </w:rPr>
        <w:t xml:space="preserve">How a Standard 401(k) Compares</w:t>
      </w:r>
    </w:p>
    <w:p>
      <w:pPr>
        <w:spacing w:after="140" w:line="276"/>
      </w:pPr>
      <w:r>
        <w:rPr>
          <w:rFonts w:ascii="Calibri" w:cs="Calibri" w:eastAsia="Calibri" w:hAnsi="Calibri"/>
          <w:sz w:val="21"/>
          <w:szCs w:val="21"/>
        </w:rPr>
        <w:t xml:space="preserve">In a typical 401(k) plan, each employee — owner or not — can defer a fixed maximum amount of their own salary each year on a pre-tax basis (a limit set by statute and adjusted annually, with an additional "catch-up" amount allowed for participants age 50 and older). A business can add a matching contribution or a profit-sharing contribution on top of that deferral, but total contributions for any one person are still capped by an overall annual limit that applies regardless of the plan type. For a highly profitable owner who wants to shelter a much larger amount of income, a 401(k) alone — even with profit sharing added — usually cannot get there, because the contribution formula is tied to a percentage of salary, not to how much profit is actually available.</w:t>
      </w:r>
    </w:p>
    <w:p>
      <w:pPr>
        <w:pStyle w:val="Heading2"/>
        <w:spacing w:after="80" w:before="200"/>
      </w:pPr>
      <w:r>
        <w:rPr>
          <w:rFonts w:ascii="Calibri" w:cs="Calibri" w:eastAsia="Calibri" w:hAnsi="Calibri"/>
          <w:b/>
          <w:bCs/>
          <w:color w:val="2E5496"/>
          <w:sz w:val="24"/>
          <w:szCs w:val="24"/>
        </w:rPr>
        <w:t xml:space="preserve">How a Cash-Balance Plan Changes the Math</w:t>
      </w:r>
    </w:p>
    <w:p>
      <w:pPr>
        <w:spacing w:after="140" w:line="276"/>
      </w:pPr>
      <w:r>
        <w:rPr>
          <w:rFonts w:ascii="Calibri" w:cs="Calibri" w:eastAsia="Calibri" w:hAnsi="Calibri"/>
          <w:sz w:val="21"/>
          <w:szCs w:val="21"/>
        </w:rPr>
        <w:t xml:space="preserve">A cash-balance plan uses an entirely different contribution formula. Instead of being based only on salary, the allowable contribution for each participant is calculated by a licensed actuary based on the participant’s age, years to retirement, and compensation — the formula is designed so that older, higher-paid participants can have dramatically larger contributions made on their behalf, often several times what a 401(k) alone would permit. Because business owners are typically both older and higher-paid than their staff, and because a cash-balance plan can be designed so almost all of the contribution benefit flows to the owners while a much smaller required contribution covers the rank-and-file employees, this plan type is most powerful for a business with a small number of non-owner employees relative to its owners.</w:t>
      </w:r>
    </w:p>
    <w:p>
      <w:pPr>
        <w:spacing w:after="140" w:line="276"/>
      </w:pPr>
      <w:r>
        <w:rPr>
          <w:rFonts w:ascii="Calibri" w:cs="Calibri" w:eastAsia="Calibri" w:hAnsi="Calibri"/>
          <w:sz w:val="21"/>
          <w:szCs w:val="21"/>
        </w:rPr>
        <w:t xml:space="preserve">A cash-balance plan is not something a business sets up on its own — it requires a formal plan document and an annual actuarial calculation performed by a third-party administrator (TPA), since the contribution amount is not a simple percentage but a calculated figure that changes each year based on age, pay, and plan funding status. It is also generally expected to be maintained for a number of years; terminating it too soon after setup can trigger unwinding costs and reduce its tax efficiency.</w:t>
      </w:r>
    </w:p>
    <w:p>
      <w:pPr>
        <w:spacing w:after="140" w:line="276"/>
      </w:pPr>
      <w:r>
        <w:rPr>
          <w:rFonts w:ascii="Calibri" w:cs="Calibri" w:eastAsia="Calibri" w:hAnsi="Calibri"/>
          <w:sz w:val="21"/>
          <w:szCs w:val="21"/>
        </w:rPr>
        <w:t xml:space="preserve">A cash-balance plan is commonly layered on top of a 401(k)/profit-sharing plan rather than replacing it — the 401(k) continues to let each participant defer their own salary, while the cash-balance plan adds a much larger employer-funded contribution on top, calculated by the actuary to work within the combined limits the IRS allows when both plan types exist together.</w:t>
      </w:r>
    </w:p>
    <w:p>
      <w:pPr>
        <w:pStyle w:val="ListParagraph"/>
        <w:numPr>
          <w:ilvl w:val="0"/>
          <w:numId w:val="2"/>
        </w:numPr>
        <w:spacing w:after="60" w:line="276"/>
      </w:pPr>
      <w:r>
        <w:rPr>
          <w:rFonts w:ascii="Calibri" w:cs="Calibri" w:eastAsia="Calibri" w:hAnsi="Calibri"/>
          <w:sz w:val="21"/>
          <w:szCs w:val="21"/>
        </w:rPr>
        <w:t xml:space="preserve">Best fit: a profitable business where the owners are older (contributions become more powerful with age, since there is less time left to fund an eventual retirement benefit) and where non-owner staff are few relative to the owners.</w:t>
      </w:r>
    </w:p>
    <w:p>
      <w:pPr>
        <w:pStyle w:val="ListParagraph"/>
        <w:numPr>
          <w:ilvl w:val="0"/>
          <w:numId w:val="2"/>
        </w:numPr>
        <w:spacing w:after="60" w:line="276"/>
      </w:pPr>
      <w:r>
        <w:rPr>
          <w:rFonts w:ascii="Calibri" w:cs="Calibri" w:eastAsia="Calibri" w:hAnsi="Calibri"/>
          <w:sz w:val="21"/>
          <w:szCs w:val="21"/>
        </w:rPr>
        <w:t xml:space="preserve">The contribution amount for each owner depends directly on that owner’s salary — a business paying its owners an artificially low salary for other reasons will find the maximum cash-balance contribution capped well below what it could otherwise be, since the actuarial formula uses reported compensation as an input.</w:t>
      </w:r>
    </w:p>
    <w:p>
      <w:pPr>
        <w:pStyle w:val="ListParagraph"/>
        <w:numPr>
          <w:ilvl w:val="0"/>
          <w:numId w:val="2"/>
        </w:numPr>
        <w:spacing w:after="60" w:line="276"/>
      </w:pPr>
      <w:r>
        <w:rPr>
          <w:rFonts w:ascii="Calibri" w:cs="Calibri" w:eastAsia="Calibri" w:hAnsi="Calibri"/>
          <w:sz w:val="21"/>
          <w:szCs w:val="21"/>
        </w:rPr>
        <w:t xml:space="preserve">Contributions are generally deductible to the business in the year they relate to, and can often be funded any time up until the extended due date of that year’s tax return, which gives useful flexibility on cash flow.</w:t>
      </w:r>
    </w:p>
    <w:p>
      <w:pPr>
        <w:pStyle w:val="ListParagraph"/>
        <w:numPr>
          <w:ilvl w:val="0"/>
          <w:numId w:val="2"/>
        </w:numPr>
        <w:spacing w:after="60" w:line="276"/>
      </w:pPr>
      <w:r>
        <w:rPr>
          <w:rFonts w:ascii="Calibri" w:cs="Calibri" w:eastAsia="Calibri" w:hAnsi="Calibri"/>
          <w:sz w:val="21"/>
          <w:szCs w:val="21"/>
        </w:rPr>
        <w:t xml:space="preserve">A small-employer tax credit is available under SECURE 2.0 (IRC § 45E) for the cost of establishing a new retirement plan, potentially covering a significant share of the setup and administrative cost for the first few years, with an additional credit available for plans that include automatic enrollment.</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David, age 52, is the sole owner of a profitable consulting firm with one part-time administrative employee. His actuary calculates that a cash-balance plan would allow a contribution of approximately $150,000 for David in the current year, based on his age and salary, while the required contribution for his part-time employee is approximately $4,000. Combined with a 401(k) deferral, David’s total deductible retirement contribution for the year could exceed $170,000 — compared to roughly $30,000 if he relied on a 401(k) with profit sharing alone.</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Because the contribution formula depends on age, a cash-balance plan is generally far more powerful for an owner in their 50s or 60s than for one in their 20s or 30s, who has decades left before retirement and would see a much smaller calculated contribution for the same salary level.</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3. Real Estate Buy-vs-Rent Strategy Using an Affiliated LLC, § 469 Grouping, and Cost Segregation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Real Estate</w:t>
      </w:r>
    </w:p>
    <w:p>
      <w:pPr>
        <w:spacing w:after="140" w:line="276"/>
      </w:pPr>
      <w:r>
        <w:rPr>
          <w:rFonts w:ascii="Calibri" w:cs="Calibri" w:eastAsia="Calibri" w:hAnsi="Calibri"/>
          <w:sz w:val="21"/>
          <w:szCs w:val="21"/>
        </w:rPr>
        <w:t xml:space="preserve">A business that pays significant rent to lease the space it operates from is a candidate to instead buy that real estate through a separate legal entity, then lease the property to its own operating business at a market rent. Done correctly, this converts a rent payment (which gives the tenant nothing in return except use of the space) into an ownership position that builds equity and unlocks depreciation deductions the tenant business could never claim while merely renting.</w:t>
      </w:r>
    </w:p>
    <w:p>
      <w:pPr>
        <w:pStyle w:val="Heading2"/>
        <w:spacing w:after="80" w:before="200"/>
      </w:pPr>
      <w:r>
        <w:rPr>
          <w:rFonts w:ascii="Calibri" w:cs="Calibri" w:eastAsia="Calibri" w:hAnsi="Calibri"/>
          <w:b/>
          <w:bCs/>
          <w:color w:val="2E5496"/>
          <w:sz w:val="24"/>
          <w:szCs w:val="24"/>
        </w:rPr>
        <w:t xml:space="preserve">Why the Real Estate Belongs in a Separate Entity</w:t>
      </w:r>
    </w:p>
    <w:p>
      <w:pPr>
        <w:spacing w:after="140" w:line="276"/>
      </w:pPr>
      <w:r>
        <w:rPr>
          <w:rFonts w:ascii="Calibri" w:cs="Calibri" w:eastAsia="Calibri" w:hAnsi="Calibri"/>
          <w:sz w:val="21"/>
          <w:szCs w:val="21"/>
        </w:rPr>
        <w:t xml:space="preserve">Real estate should not be held directly inside an S corporation. If real estate held inside an S corporation is ever distributed to a shareholder (for example, because the owner wants to sell it personally, refinance it independently of the business, or pass it to an heir), the corporation is treated as if it sold the property for its full fair market value at that moment — triggering taxable gain even though no cash actually changed hands. Real estate is also comparatively illiquid and long-lived, which makes it a poor fit for an entity type built around a single class of stock and a single, undivided ownership structure. The standard approach instead is to form a separate LLC — owned by the same individuals who own the operating business, or by the operating business itself — that purchases the real estate and leases it back to the operating business at a market-rate rent.</w:t>
      </w:r>
    </w:p>
    <w:p>
      <w:pPr>
        <w:pStyle w:val="Heading2"/>
        <w:spacing w:after="80" w:before="200"/>
      </w:pPr>
      <w:r>
        <w:rPr>
          <w:rFonts w:ascii="Calibri" w:cs="Calibri" w:eastAsia="Calibri" w:hAnsi="Calibri"/>
          <w:b/>
          <w:bCs/>
          <w:color w:val="2E5496"/>
          <w:sz w:val="24"/>
          <w:szCs w:val="24"/>
        </w:rPr>
        <w:t xml:space="preserve">Unlocking Losses with a § 469 Grouping Election</w:t>
      </w:r>
    </w:p>
    <w:p>
      <w:pPr>
        <w:spacing w:after="140" w:line="276"/>
      </w:pPr>
      <w:r>
        <w:rPr>
          <w:rFonts w:ascii="Calibri" w:cs="Calibri" w:eastAsia="Calibri" w:hAnsi="Calibri"/>
          <w:sz w:val="21"/>
          <w:szCs w:val="21"/>
        </w:rPr>
        <w:t xml:space="preserve">Rental real estate income and losses are, by default, classified as "passive" under the tax code, which means a loss generated by the rental (including the very large depreciation loss a cost-segregation study can create in the first year of ownership — see the following section) can normally only offset other passive income, not the owner’s wages or the operating business’s active profit. However, IRC § 469 permits related activities to be treated as one combined "economic unit" through a grouping election, when the facts genuinely support that they operate as a single enterprise — for example, when the same owners control both the rental LLC and the operating business, and the real estate exists specifically to house that operating business rather than as an independent investment. Once properly grouped, an owner’s active, material participation in the operating business can support treating the rental activity as non-passive as well, which allows a large first-year loss from the real estate to offset the owner’s other active income in that same year — potentially producing a very large deduction against income that would otherwise be fully taxable.</w:t>
      </w:r>
    </w:p>
    <w:p>
      <w:pPr>
        <w:pStyle w:val="ListParagraph"/>
        <w:numPr>
          <w:ilvl w:val="0"/>
          <w:numId w:val="2"/>
        </w:numPr>
        <w:spacing w:after="60" w:line="276"/>
      </w:pPr>
      <w:r>
        <w:rPr>
          <w:rFonts w:ascii="Calibri" w:cs="Calibri" w:eastAsia="Calibri" w:hAnsi="Calibri"/>
          <w:sz w:val="21"/>
          <w:szCs w:val="21"/>
        </w:rPr>
        <w:t xml:space="preserve">A grouping election, once made, must generally be applied consistently in later years rather than revisited each year based on which treatment happens to be more favorable — the IRS looks unfavorably on inconsistent groupings used purely to manage tax outcomes.</w:t>
      </w:r>
    </w:p>
    <w:p>
      <w:pPr>
        <w:pStyle w:val="ListParagraph"/>
        <w:numPr>
          <w:ilvl w:val="0"/>
          <w:numId w:val="2"/>
        </w:numPr>
        <w:spacing w:after="60" w:line="276"/>
      </w:pPr>
      <w:r>
        <w:rPr>
          <w:rFonts w:ascii="Calibri" w:cs="Calibri" w:eastAsia="Calibri" w:hAnsi="Calibri"/>
          <w:sz w:val="21"/>
          <w:szCs w:val="21"/>
        </w:rPr>
        <w:t xml:space="preserve">The grouping must reflect real economic facts — common ownership and genuine operational interdependence between the two activities — not simply a paper structure created to reclassify income for tax purposes.</w:t>
      </w:r>
    </w:p>
    <w:p>
      <w:pPr>
        <w:pStyle w:val="Heading2"/>
        <w:spacing w:after="80" w:before="200"/>
      </w:pPr>
      <w:r>
        <w:rPr>
          <w:rFonts w:ascii="Calibri" w:cs="Calibri" w:eastAsia="Calibri" w:hAnsi="Calibri"/>
          <w:b/>
          <w:bCs/>
          <w:color w:val="2E5496"/>
          <w:sz w:val="24"/>
          <w:szCs w:val="24"/>
        </w:rPr>
        <w:t xml:space="preserve">Cost Segregation to Accelerate Depreciation</w:t>
      </w:r>
    </w:p>
    <w:p>
      <w:pPr>
        <w:spacing w:after="140" w:line="276"/>
      </w:pPr>
      <w:r>
        <w:rPr>
          <w:rFonts w:ascii="Calibri" w:cs="Calibri" w:eastAsia="Calibri" w:hAnsi="Calibri"/>
          <w:sz w:val="21"/>
          <w:szCs w:val="21"/>
        </w:rPr>
        <w:t xml:space="preserve">When real estate is purchased, the tax code normally requires the building itself to be depreciated slowly — over 39 years for commercial property or 27.5 years for residential rental property — while land is not depreciated at all. A cost segregation study is an engineering-based analysis that identifies components of the purchase price that qualify for much shorter depreciation lives: items such as certain electrical and plumbing systems tied to specific equipment, decorative or removable fixtures, parking lot paving, and landscaping can often be depreciated over 5, 7, or 15 years instead of the building’s full life — and those shorter-lived components are also eligible for bonus depreciation, allowing a large share of their cost to be deducted immediately in the year the property is placed in service. On a typical commercial property purchase, a cost segregation study can reclassify a meaningful share of the purchase price this way, turning what would otherwise be a small first-year depreciation deduction into a substantially larger one.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retail business currently pays $80,000 per year in rent for its storefront. Its owners form a separate LLC that purchases a comparable $600,000 building, leases it back to the retail business at the same $80,000 market rent, and elects to group the two activities under § 469 since the same owners actively run the retail business day to day. A cost segregation study identifies roughly $150,000 of the purchase price as five-, seven-, and fifteen-year property eligible for bonus depreciation, producing a large first-year deduction that — because of the grouping election — can offset the owners’ other active income rather than being trapped as a passive loss.</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Accelerated depreciation is a timing benefit, not a permanent one: when the property is eventually sold, the depreciation previously deducted is generally "recaptured" — taxed as ordinary income for the shorter-lived personal-property components (IRC § 1245) or at a special 25% rate for the building portion (IRC § 1250 unrecaptured gain). Cost segregation defers tax into the future rather than eliminating it, and should be evaluated with an eventual sale in mind, not just the immediate deduction.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4. Correcting Misclassified Fixed Assets with a Change in Accounting Method (Form 3115)</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w:t>
      </w:r>
    </w:p>
    <w:p>
      <w:pPr>
        <w:spacing w:after="140" w:line="276"/>
      </w:pPr>
      <w:r>
        <w:rPr>
          <w:rFonts w:ascii="Calibri" w:cs="Calibri" w:eastAsia="Calibri" w:hAnsi="Calibri"/>
          <w:sz w:val="21"/>
          <w:szCs w:val="21"/>
        </w:rPr>
        <w:t xml:space="preserve">Every business purchase of equipment, furniture, or other long-lived property is supposed to be handled one of two ways for tax purposes: either capitalized (recorded as an asset and depreciated over its useful life, or deducted immediately under bonus depreciation/§179 if it qualifies) or, for smaller items, expensed immediately under a specific safe harbor. A common bookkeeping mistake is to instead book these purchases straight to an ordinary expense account — often something generically labeled "supplies" or "materials" — with no asset ever recorded, no depreciation schedule created, and no accumulated-depreciation tracking maintained.</w:t>
      </w:r>
    </w:p>
    <w:p>
      <w:pPr>
        <w:pStyle w:val="Heading2"/>
        <w:spacing w:after="80" w:before="200"/>
      </w:pPr>
      <w:r>
        <w:rPr>
          <w:rFonts w:ascii="Calibri" w:cs="Calibri" w:eastAsia="Calibri" w:hAnsi="Calibri"/>
          <w:b/>
          <w:bCs/>
          <w:color w:val="2E5496"/>
          <w:sz w:val="24"/>
          <w:szCs w:val="24"/>
        </w:rPr>
        <w:t xml:space="preserve">Why This Error Often Goes Unnoticed</w:t>
      </w:r>
    </w:p>
    <w:p>
      <w:pPr>
        <w:spacing w:after="140" w:line="276"/>
      </w:pPr>
      <w:r>
        <w:rPr>
          <w:rFonts w:ascii="Calibri" w:cs="Calibri" w:eastAsia="Calibri" w:hAnsi="Calibri"/>
          <w:sz w:val="21"/>
          <w:szCs w:val="21"/>
        </w:rPr>
        <w:t xml:space="preserve">If an asset that should have been capitalized would have qualified for 100% bonus depreciation anyway, the current-year tax deduction can end up being exactly the same dollar amount whether it was capitalized-then-fully-depreciated or simply expensed as a supply. Because the immediate tax bill looks identical either way, this kind of error is easy to overlook for years — nothing on the tax return itself signals that anything is wrong. But the business is left with no accurate record of what it actually owns, no basis figure to reference, and no accumulated-depreciation ledger, even though the assets themselves still exist and are still being used.</w:t>
      </w:r>
    </w:p>
    <w:p>
      <w:pPr>
        <w:pStyle w:val="Heading2"/>
        <w:spacing w:after="80" w:before="200"/>
      </w:pPr>
      <w:r>
        <w:rPr>
          <w:rFonts w:ascii="Calibri" w:cs="Calibri" w:eastAsia="Calibri" w:hAnsi="Calibri"/>
          <w:b/>
          <w:bCs/>
          <w:color w:val="2E5496"/>
          <w:sz w:val="24"/>
          <w:szCs w:val="24"/>
        </w:rPr>
        <w:t xml:space="preserve">Why It Matters Anyway</w:t>
      </w:r>
    </w:p>
    <w:p>
      <w:pPr>
        <w:spacing w:after="140" w:line="276"/>
      </w:pPr>
      <w:r>
        <w:rPr>
          <w:rFonts w:ascii="Calibri" w:cs="Calibri" w:eastAsia="Calibri" w:hAnsi="Calibri"/>
          <w:sz w:val="21"/>
          <w:szCs w:val="21"/>
        </w:rPr>
        <w:t xml:space="preserve">The absence of a basis and depreciation record becomes a real problem the moment any of those assets are sold, or the business itself is sold and a buyer wants to allocate the purchase price across specific assets. Without records, there is no way to correctly calculate gain, loss, or depreciation recapture on a later sale of the misclassified items. The business’s balance sheet also permanently understates its true asset base — for example, a company that has quietly built up a warehouse of valuable equipment over several years, but never recorded any of it as an asset, will show an artificially thin balance sheet that misrepresents what the business actually owns.</w:t>
      </w:r>
    </w:p>
    <w:p>
      <w:pPr>
        <w:pStyle w:val="Heading2"/>
        <w:spacing w:after="80" w:before="200"/>
      </w:pPr>
      <w:r>
        <w:rPr>
          <w:rFonts w:ascii="Calibri" w:cs="Calibri" w:eastAsia="Calibri" w:hAnsi="Calibri"/>
          <w:b/>
          <w:bCs/>
          <w:color w:val="2E5496"/>
          <w:sz w:val="24"/>
          <w:szCs w:val="24"/>
        </w:rPr>
        <w:t xml:space="preserve">How to Fix It: Form 3115</w:t>
      </w:r>
    </w:p>
    <w:p>
      <w:pPr>
        <w:spacing w:after="140" w:line="276"/>
      </w:pPr>
      <w:r>
        <w:rPr>
          <w:rFonts w:ascii="Calibri" w:cs="Calibri" w:eastAsia="Calibri" w:hAnsi="Calibri"/>
          <w:sz w:val="21"/>
          <w:szCs w:val="21"/>
        </w:rPr>
        <w:t xml:space="preserve">When misclassification has occurred consistently across more than one prior tax year, it is treated as an accounting-method problem rather than a simple mistake correctable by amending a single return. The proper fix is to file Form 3115, Application for Change in Accounting Method, which allows the business to formally switch to the correct capitalization method going forward and make a one-time "catch-up" adjustment (under IRC § 481(a)) to true up the difference between the old and new methods — without needing to amend every affected prior-year return individually. If the items were already fully deducted under bonus depreciation or § 179 in the year purchased, this catch-up adjustment is often net-zero in dollar terms, since no additional deduction is actually being claimed — the filing exists to correct the accounting record and establish a going-forward basis schedule, not to generate a new deduction.</w:t>
      </w:r>
    </w:p>
    <w:p>
      <w:pPr>
        <w:pStyle w:val="ListParagraph"/>
        <w:numPr>
          <w:ilvl w:val="0"/>
          <w:numId w:val="2"/>
        </w:numPr>
        <w:spacing w:after="60" w:line="276"/>
      </w:pPr>
      <w:r>
        <w:rPr>
          <w:rFonts w:ascii="Calibri" w:cs="Calibri" w:eastAsia="Calibri" w:hAnsi="Calibri"/>
          <w:sz w:val="21"/>
          <w:szCs w:val="21"/>
        </w:rPr>
        <w:t xml:space="preserve">After filing Form 3115, build (or have a bookkeeper build) a per-asset schedule recording the description, purchase date, cost, and depreciation method for every capitalized item, so the record stays accurate going forward.</w:t>
      </w:r>
    </w:p>
    <w:p>
      <w:pPr>
        <w:pStyle w:val="ListParagraph"/>
        <w:numPr>
          <w:ilvl w:val="0"/>
          <w:numId w:val="2"/>
        </w:numPr>
        <w:spacing w:after="60" w:line="276"/>
      </w:pPr>
      <w:r>
        <w:rPr>
          <w:rFonts w:ascii="Calibri" w:cs="Calibri" w:eastAsia="Calibri" w:hAnsi="Calibri"/>
          <w:sz w:val="21"/>
          <w:szCs w:val="21"/>
        </w:rPr>
        <w:t xml:space="preserve">Adopt a clear, written capitalization policy — for example, a formal de minimis safe-harbor election for smaller-dollar purchases — so future purchases are classified correctly the first time, rather than repeating the same error.</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catering company has purchased chafing dishes, folding tables, and portable ovens over several years, expensing every purchase to a "supplies" account. None of these items appear on the balance sheet as assets, even though the company still owns and uses all of them. The company’s accountant files Form 3115 to formally change the accounting method for these purchases, resulting in a net-zero catch-up adjustment (since the items were already fully deducted through bonus depreciation in the years purchased), and then builds a per-asset schedule so any future equipment purchase is capitalized and tracked correctly from the start.</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Filing Form 3115 to correct the accounting method does not usually change the total tax already paid in prior years — its purpose is to create an accurate go-forward asset record without needing to amend multiple old returns.</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5. Home Office Reimbursement Through an Accountable Plan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  ·  C-Corporation</w:t>
      </w:r>
    </w:p>
    <w:p>
      <w:pPr>
        <w:spacing w:after="140" w:line="276"/>
      </w:pPr>
      <w:r>
        <w:rPr>
          <w:rFonts w:ascii="Calibri" w:cs="Calibri" w:eastAsia="Calibri" w:hAnsi="Calibri"/>
          <w:sz w:val="21"/>
          <w:szCs w:val="21"/>
        </w:rPr>
        <w:t xml:space="preserve">An owner who works through a corporation — an S corporation or a C corporation — is legally an employee of that corporation, even though they also own it. Employees generally cannot claim a home-office deduction directly on their personal tax return the way a sole proprietor or independent contractor can. Instead, the way to get the same economic benefit — the corporation effectively covering the cost of the home office — is for the corporation to reimburse the employee for home-office expenses under a formal "accountable plan."</w:t>
      </w:r>
    </w:p>
    <w:p>
      <w:pPr>
        <w:pStyle w:val="Heading2"/>
        <w:spacing w:after="80" w:before="200"/>
      </w:pPr>
      <w:r>
        <w:rPr>
          <w:rFonts w:ascii="Calibri" w:cs="Calibri" w:eastAsia="Calibri" w:hAnsi="Calibri"/>
          <w:b/>
          <w:bCs/>
          <w:color w:val="2E5496"/>
          <w:sz w:val="24"/>
          <w:szCs w:val="24"/>
        </w:rPr>
        <w:t xml:space="preserve">Why an Owner-Employee Cannot Just Deduct a Home Office Personally</w:t>
      </w:r>
    </w:p>
    <w:p>
      <w:pPr>
        <w:spacing w:after="140" w:line="276"/>
      </w:pPr>
      <w:r>
        <w:rPr>
          <w:rFonts w:ascii="Calibri" w:cs="Calibri" w:eastAsia="Calibri" w:hAnsi="Calibri"/>
          <w:sz w:val="21"/>
          <w:szCs w:val="21"/>
        </w:rPr>
        <w:t xml:space="preserve">The home-office deduction available on a sole proprietor’s Schedule C (or under the simplified method) is designed for someone whose business income is reported directly on their own return. An owner-employee of a corporation instead receives W-2 wages and, if the entity is an S corporation, a separate K-1 for their share of the business’s profit — neither of which allows the same kind of direct home-office deduction. Simply having the employee pay for home-office costs personally and deduct them is not available for an employee under current law. The correct mechanism is for the corporation itself to reimburse the employee for the business-use portion of home expenses under an accountable plan.</w:t>
      </w:r>
    </w:p>
    <w:p>
      <w:pPr>
        <w:pStyle w:val="Heading2"/>
        <w:spacing w:after="80" w:before="200"/>
      </w:pPr>
      <w:r>
        <w:rPr>
          <w:rFonts w:ascii="Calibri" w:cs="Calibri" w:eastAsia="Calibri" w:hAnsi="Calibri"/>
          <w:b/>
          <w:bCs/>
          <w:color w:val="2E5496"/>
          <w:sz w:val="24"/>
          <w:szCs w:val="24"/>
        </w:rPr>
        <w:t xml:space="preserve">How an Accountable Plan Reimbursement Works</w:t>
      </w:r>
    </w:p>
    <w:p>
      <w:pPr>
        <w:spacing w:after="140" w:line="276"/>
      </w:pPr>
      <w:r>
        <w:rPr>
          <w:rFonts w:ascii="Calibri" w:cs="Calibri" w:eastAsia="Calibri" w:hAnsi="Calibri"/>
          <w:sz w:val="21"/>
          <w:szCs w:val="21"/>
        </w:rPr>
        <w:t xml:space="preserve">Under Treas. Reg. § 1.62-2, a corporation can adopt a written accountable-plan policy authorizing it to reimburse an employee for legitimate home-office expenses tied to a specific space in the home used regularly and exclusively for business — a dedicated room, not a shared or occasional-use area like a kitchen table. The reimbursement typically covers a business-use percentage of costs such as mortgage interest (or rent, if the home is rented), property tax, homeowners association dues, utilities, and internet service.</w:t>
      </w:r>
    </w:p>
    <w:p>
      <w:pPr>
        <w:spacing w:after="140" w:line="276"/>
      </w:pPr>
      <w:r>
        <w:rPr>
          <w:rFonts w:ascii="Calibri" w:cs="Calibri" w:eastAsia="Calibri" w:hAnsi="Calibri"/>
          <w:sz w:val="21"/>
          <w:szCs w:val="21"/>
        </w:rPr>
        <w:t xml:space="preserve">When structured and substantiated correctly, this reimbursement is fully deductible to the corporation as a business expense, and — unlike simply paying the employee additional wages to cover the same costs — it is not treated as taxable income to the employee. This is the key advantage over the alternative of just raising the employee’s salary: a wage increase would be taxed as ordinary income and subject to payroll tax, while a proper accountable-plan reimbursement is not.</w:t>
      </w:r>
    </w:p>
    <w:p>
      <w:pPr>
        <w:spacing w:after="140" w:line="276"/>
      </w:pPr>
      <w:r>
        <w:rPr>
          <w:rFonts w:ascii="Calibri" w:cs="Calibri" w:eastAsia="Calibri" w:hAnsi="Calibri"/>
          <w:sz w:val="21"/>
          <w:szCs w:val="21"/>
        </w:rPr>
        <w:t xml:space="preserve">A qualifying home office used this way also establishes that location as a genuine "tax home" for mileage purposes, which can convert what would otherwise be non-deductible commuting mileage (from home to a client site or other business location) into deductible business mileage, since the trip now starts from a recognized place of business rather than from a purely personal residence.</w:t>
      </w:r>
    </w:p>
    <w:p>
      <w:pPr>
        <w:pStyle w:val="ListParagraph"/>
        <w:numPr>
          <w:ilvl w:val="0"/>
          <w:numId w:val="2"/>
        </w:numPr>
        <w:spacing w:after="60" w:line="276"/>
      </w:pPr>
      <w:r>
        <w:rPr>
          <w:rFonts w:ascii="Calibri" w:cs="Calibri" w:eastAsia="Calibri" w:hAnsi="Calibri"/>
          <w:sz w:val="21"/>
          <w:szCs w:val="21"/>
        </w:rPr>
        <w:t xml:space="preserve">The space claimed must be a defined area used regularly and exclusively for business — occasional use of a general living space does not qualify.</w:t>
      </w:r>
    </w:p>
    <w:p>
      <w:pPr>
        <w:pStyle w:val="ListParagraph"/>
        <w:numPr>
          <w:ilvl w:val="0"/>
          <w:numId w:val="2"/>
        </w:numPr>
        <w:spacing w:after="60" w:line="276"/>
      </w:pPr>
      <w:r>
        <w:rPr>
          <w:rFonts w:ascii="Calibri" w:cs="Calibri" w:eastAsia="Calibri" w:hAnsi="Calibri"/>
          <w:sz w:val="21"/>
          <w:szCs w:val="21"/>
        </w:rPr>
        <w:t xml:space="preserve">The plan must be in writing, and the reimbursement must be substantiated with an actual expense calculation (square footage percentage, actual bills, etc.) rather than paid as a flat, unsubstantiated allowance.</w:t>
      </w:r>
    </w:p>
    <w:p>
      <w:pPr>
        <w:pStyle w:val="ListParagraph"/>
        <w:numPr>
          <w:ilvl w:val="0"/>
          <w:numId w:val="2"/>
        </w:numPr>
        <w:spacing w:after="60" w:line="276"/>
      </w:pPr>
      <w:r>
        <w:rPr>
          <w:rFonts w:ascii="Calibri" w:cs="Calibri" w:eastAsia="Calibri" w:hAnsi="Calibri"/>
          <w:sz w:val="21"/>
          <w:szCs w:val="21"/>
        </w:rPr>
        <w:t xml:space="preserve">Expense reports or supporting calculations should be kept on file exactly as they would be for any other reimbursed business expense, since an accountable plan that is not properly documented risks being treated as ordinary taxable wages if ever examined.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Priya is the sole owner-employee of her graphic design corporation and works from a dedicated 150-square-foot office in her 1,500-square-foot home — 10% of the home’s total square footage. Her corporation adopts a written accountable plan and reimburses her 10% of her mortgage interest, property tax, homeowners insurance, and internet bill each month, based on actual receipts and the calculated percentage. The corporation deducts the reimbursed amount as a business expense, and Priya does not report it as taxable income.</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An informal or undocumented reimbursement — for example, the corporation simply writing the owner a check labeled "home office" with no written policy or expense calculation behind it — risks being recharacterized as ordinary taxable wages on examination.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6. The Augusta Rule: Tax-Free Short-Term Rental of a Personal Residence to One’s Own Business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  ·  C-Corporation</w:t>
      </w:r>
    </w:p>
    <w:p>
      <w:pPr>
        <w:spacing w:after="140" w:line="276"/>
      </w:pPr>
      <w:r>
        <w:rPr>
          <w:rFonts w:ascii="Calibri" w:cs="Calibri" w:eastAsia="Calibri" w:hAnsi="Calibri"/>
          <w:sz w:val="21"/>
          <w:szCs w:val="21"/>
        </w:rPr>
        <w:t xml:space="preserve">IRC § 280A(g) contains an unusually generous, narrow rule: if an individual rents out their personal residence for fewer than 15 days total during the year, none of that rental income has to be reported or taxed — no matter how much was charged — while a business that pays for the rental can still deduct the payment as an ordinary business expense. This provision is nicknamed the "Augusta Rule" after Augusta, Georgia, where homeowners near the Masters golf tournament have long rented out their houses for a few days each year at high rates, tax-free.</w:t>
      </w:r>
    </w:p>
    <w:p>
      <w:pPr>
        <w:pStyle w:val="Heading2"/>
        <w:spacing w:after="80" w:before="200"/>
      </w:pPr>
      <w:r>
        <w:rPr>
          <w:rFonts w:ascii="Calibri" w:cs="Calibri" w:eastAsia="Calibri" w:hAnsi="Calibri"/>
          <w:b/>
          <w:bCs/>
          <w:color w:val="2E5496"/>
          <w:sz w:val="24"/>
          <w:szCs w:val="24"/>
        </w:rPr>
        <w:t xml:space="preserve">How the Strategy Is Applied to a Business Owner</w:t>
      </w:r>
    </w:p>
    <w:p>
      <w:pPr>
        <w:spacing w:after="140" w:line="276"/>
      </w:pPr>
      <w:r>
        <w:rPr>
          <w:rFonts w:ascii="Calibri" w:cs="Calibri" w:eastAsia="Calibri" w:hAnsi="Calibri"/>
          <w:sz w:val="21"/>
          <w:szCs w:val="21"/>
        </w:rPr>
        <w:t xml:space="preserve">A business owner can rent their own personal residence to their own business for legitimate business purposes — board meetings, employee events, strategic planning sessions, or client entertaining — as long as the total number of rental days in the year stays under 15. The business pays the owner a rental fee for each day used, at a rate that reflects what comparable meeting or event space would genuinely cost to rent in that area. The business deducts the rental payment as an ordinary business expense. The owner, personally, does not report the rental income at all — it is entirely excluded from gross income under § 280A(g), and no expenses need to be allocated against it either, since there is no income to offset.</w:t>
      </w:r>
    </w:p>
    <w:p>
      <w:pPr>
        <w:spacing w:after="140" w:line="276"/>
      </w:pPr>
      <w:r>
        <w:rPr>
          <w:rFonts w:ascii="Calibri" w:cs="Calibri" w:eastAsia="Calibri" w:hAnsi="Calibri"/>
          <w:sz w:val="21"/>
          <w:szCs w:val="21"/>
        </w:rPr>
        <w:t xml:space="preserve">This works because § 280A(g) treats a residence rented for fewer than 15 days a year as outside the normal rules that would otherwise require reporting rental income and limit related deductions — the provision simply removes such minimal, personal-use-dominant rentals from the tax system entirely, in both directions.</w:t>
      </w:r>
    </w:p>
    <w:p>
      <w:pPr>
        <w:pStyle w:val="ListParagraph"/>
        <w:numPr>
          <w:ilvl w:val="0"/>
          <w:numId w:val="2"/>
        </w:numPr>
        <w:spacing w:after="60" w:line="276"/>
      </w:pPr>
      <w:r>
        <w:rPr>
          <w:rFonts w:ascii="Calibri" w:cs="Calibri" w:eastAsia="Calibri" w:hAnsi="Calibri"/>
          <w:sz w:val="21"/>
          <w:szCs w:val="21"/>
        </w:rPr>
        <w:t xml:space="preserve">The rental rate charged must be a genuine, defensible fair-market rate — typically benchmarked against what comparable local event or meeting-space rentals cost, not an arbitrary number chosen to maximize the deduction.</w:t>
      </w:r>
    </w:p>
    <w:p>
      <w:pPr>
        <w:pStyle w:val="ListParagraph"/>
        <w:numPr>
          <w:ilvl w:val="0"/>
          <w:numId w:val="2"/>
        </w:numPr>
        <w:spacing w:after="60" w:line="276"/>
      </w:pPr>
      <w:r>
        <w:rPr>
          <w:rFonts w:ascii="Calibri" w:cs="Calibri" w:eastAsia="Calibri" w:hAnsi="Calibri"/>
          <w:sz w:val="21"/>
          <w:szCs w:val="21"/>
        </w:rPr>
        <w:t xml:space="preserve">The business purpose must be real and documented: an agenda for the meeting, minutes recording what was discussed and decided, and a clear business reason for holding the event at the residence rather than elsewhere.</w:t>
      </w:r>
    </w:p>
    <w:p>
      <w:pPr>
        <w:pStyle w:val="ListParagraph"/>
        <w:numPr>
          <w:ilvl w:val="0"/>
          <w:numId w:val="2"/>
        </w:numPr>
        <w:spacing w:after="60" w:line="276"/>
      </w:pPr>
      <w:r>
        <w:rPr>
          <w:rFonts w:ascii="Calibri" w:cs="Calibri" w:eastAsia="Calibri" w:hAnsi="Calibri"/>
          <w:sz w:val="21"/>
          <w:szCs w:val="21"/>
        </w:rPr>
        <w:t xml:space="preserve">A written lease agreement between the individual (as landlord) and the business (as tenant) should be executed and kept on file, along with records of each rental date, the rate charged, and the payment made.</w:t>
      </w:r>
    </w:p>
    <w:p>
      <w:pPr>
        <w:pStyle w:val="ListParagraph"/>
        <w:numPr>
          <w:ilvl w:val="0"/>
          <w:numId w:val="2"/>
        </w:numPr>
        <w:spacing w:after="60" w:line="276"/>
      </w:pPr>
      <w:r>
        <w:rPr>
          <w:rFonts w:ascii="Calibri" w:cs="Calibri" w:eastAsia="Calibri" w:hAnsi="Calibri"/>
          <w:sz w:val="21"/>
          <w:szCs w:val="21"/>
        </w:rPr>
        <w:t xml:space="preserve">The 14-day-per-year limit is an all-or-nothing threshold: if total rental days for the year reach 15 or more, the exclusion is lost entirely for that year — not merely reduced for the days beyond 14 — so the count should be tracked carefully across the full year.</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James owns a landscaping business and holds four quarterly all-day strategy sessions at his home each year, each documented with a written agenda and follow-up minutes. He charges his business $600 per day — a rate he benchmarks against the cost of renting comparable meeting space at a local venue. His business deducts $2,400 for the year as a business expense. James does not report any of the $2,400 as personal income, since it falls entirely under the 14-day exclusion.</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The dollar amounts involved in this strategy are usually modest compared to something like a retirement plan or real estate purchase, but it costs very little to implement correctly and carries limited downside risk when the rental rate and business purpose are properly documented — it is a small, reliable benefit rather than a major one.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7. The Pass-Through Entity Tax (PTET) Election to Work Around the SALT Deduction Cap</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  ·  Partnership / LLC</w:t>
      </w:r>
    </w:p>
    <w:p>
      <w:pPr>
        <w:spacing w:after="140" w:line="276"/>
      </w:pPr>
      <w:r>
        <w:rPr>
          <w:rFonts w:ascii="Calibri" w:cs="Calibri" w:eastAsia="Calibri" w:hAnsi="Calibri"/>
          <w:sz w:val="21"/>
          <w:szCs w:val="21"/>
        </w:rPr>
        <w:t xml:space="preserve">Since 2018, individuals who itemize deductions have been limited to deducting no more than $10,000 total per year in state and local taxes (SALT) on their federal return — a cap that includes state income tax, regardless of how much state tax was actually paid. For an owner of a profitable pass-through business (an S corporation or partnership), this cap can mean a large amount of state tax paid personally receives no federal deduction at all. Many states have responded by creating a pass-through entity tax (PTET) election that offers a workaround.</w:t>
      </w:r>
    </w:p>
    <w:p>
      <w:pPr>
        <w:pStyle w:val="Heading2"/>
        <w:spacing w:after="80" w:before="200"/>
      </w:pPr>
      <w:r>
        <w:rPr>
          <w:rFonts w:ascii="Calibri" w:cs="Calibri" w:eastAsia="Calibri" w:hAnsi="Calibri"/>
          <w:b/>
          <w:bCs/>
          <w:color w:val="2E5496"/>
          <w:sz w:val="24"/>
          <w:szCs w:val="24"/>
        </w:rPr>
        <w:t xml:space="preserve">How the Workaround Functions</w:t>
      </w:r>
    </w:p>
    <w:p>
      <w:pPr>
        <w:spacing w:after="140" w:line="276"/>
      </w:pPr>
      <w:r>
        <w:rPr>
          <w:rFonts w:ascii="Calibri" w:cs="Calibri" w:eastAsia="Calibri" w:hAnsi="Calibri"/>
          <w:sz w:val="21"/>
          <w:szCs w:val="21"/>
        </w:rPr>
        <w:t xml:space="preserve">Under a state PTET election, the business itself (rather than its individual owners) elects to pay state income tax directly, calculated on the business’s income. Because this tax is paid and deducted at the entity level — as an ordinary cost of doing business — it is not subject to the $10,000 individual SALT cap at all; entity-level taxes are simply a business expense, the same as any other tax the business pays. The owners then typically receive an offsetting benefit on their personal state return — either a credit for their share of the tax the entity already paid, or an equivalent exclusion from their state taxable income — so they are not taxed twice on the same income at the state level.</w:t>
      </w:r>
    </w:p>
    <w:p>
      <w:pPr>
        <w:spacing w:after="140" w:line="276"/>
      </w:pPr>
      <w:r>
        <w:rPr>
          <w:rFonts w:ascii="Calibri" w:cs="Calibri" w:eastAsia="Calibri" w:hAnsi="Calibri"/>
          <w:sz w:val="21"/>
          <w:szCs w:val="21"/>
        </w:rPr>
        <w:t xml:space="preserve">The net effect is that a state tax bill that would otherwise be capped at $10,000 of federal deductibility (no matter how large it actually was) becomes fully deductible, because it was paid and deducted by the entity rather than the individual. The larger a business’s income (and therefore its state tax bill), the more valuable this election becomes, since the gap between "capped at $10,000" and "fully deductible" grows accordingly.</w:t>
      </w:r>
    </w:p>
    <w:p>
      <w:pPr>
        <w:pStyle w:val="ListParagraph"/>
        <w:numPr>
          <w:ilvl w:val="0"/>
          <w:numId w:val="2"/>
        </w:numPr>
        <w:spacing w:after="60" w:line="276"/>
      </w:pPr>
      <w:r>
        <w:rPr>
          <w:rFonts w:ascii="Calibri" w:cs="Calibri" w:eastAsia="Calibri" w:hAnsi="Calibri"/>
          <w:sz w:val="21"/>
          <w:szCs w:val="21"/>
        </w:rPr>
        <w:t xml:space="preserve">Whether a PTET election is available, how it is calculated, and its filing deadlines all vary significantly by state — some states require the election annually, often with a specific payment deadline tied to the state’s own estimated-tax schedule, and missing that deadline can forfeit the benefit for the year entirely.</w:t>
      </w:r>
    </w:p>
    <w:p>
      <w:pPr>
        <w:pStyle w:val="ListParagraph"/>
        <w:numPr>
          <w:ilvl w:val="0"/>
          <w:numId w:val="2"/>
        </w:numPr>
        <w:spacing w:after="60" w:line="276"/>
      </w:pPr>
      <w:r>
        <w:rPr>
          <w:rFonts w:ascii="Calibri" w:cs="Calibri" w:eastAsia="Calibri" w:hAnsi="Calibri"/>
          <w:sz w:val="21"/>
          <w:szCs w:val="21"/>
        </w:rPr>
        <w:t xml:space="preserve">This election generally must be made deliberately each year (it does not happen automatically) and should be confirmed with the specific state’s current rules before relying on it, since state programs continue to evolve.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S corporation earns $400,000 in taxable income in a state with a 5% PTET election and a 5% flat individual income tax rate. Without the election, the owner would pay roughly $20,000 in state tax personally, but could deduct only $10,000 of it federally (assuming no other SALT items), losing the federal benefit of the remaining $10,000. By having the entity make the PTET election, the business pays the $20,000 in state tax directly and deducts the full amount as a business expense, while the owner receives an offsetting state credit — the full $20,000 is federally deductible instead of only $10,000. At a 37% federal marginal rate, that difference is worth roughly $3,700 in actual federal tax saved ($10,000 of newly-deductible state tax × 37%) — money that would otherwise have simply been lost to the cap.</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The PTET deduction reduces the pass-through income reported on the owner’s K-1 itself — it lowers the number that flows onto the personal return before the standard-deduction-vs-itemize decision is even made. That means the benefit is not limited to owners who itemize. An owner who takes the standard deduction every year, and who would get zero benefit from a personal SALT deduction no matter how large, still benefits from PTET because it shrinks their taxable pass-through income directly. This is a frequently missed point: PTET is not simply "a way around the SALT cap for itemizers" — it helps owners who never itemize at all.</w:t>
      </w:r>
    </w:p>
    <w:p>
      <w:pPr>
        <w:pStyle w:val="Heading2"/>
        <w:spacing w:after="80" w:before="200"/>
      </w:pPr>
      <w:r>
        <w:rPr>
          <w:rFonts w:ascii="Calibri" w:cs="Calibri" w:eastAsia="Calibri" w:hAnsi="Calibri"/>
          <w:b/>
          <w:bCs/>
          <w:color w:val="2E5496"/>
          <w:sz w:val="24"/>
          <w:szCs w:val="24"/>
        </w:rPr>
        <w:t xml:space="preserve">Election Mechanics, Payment Timing, and Multi-State Ownership</w:t>
      </w:r>
    </w:p>
    <w:p>
      <w:pPr>
        <w:spacing w:after="140" w:line="276"/>
      </w:pPr>
      <w:r>
        <w:rPr>
          <w:rFonts w:ascii="Calibri" w:cs="Calibri" w:eastAsia="Calibri" w:hAnsi="Calibri"/>
          <w:sz w:val="21"/>
          <w:szCs w:val="21"/>
        </w:rPr>
        <w:t xml:space="preserve">A PTET election is not a one-time, set-it-and-forget-it choice. Most states require it to be made freshly each tax year, often by checking a box on the entity’s return or filing a separate election form, and several states additionally require estimated PTET payments during the year — on a schedule that mirrors (but is administratively separate from) the entity’s and the owners’ own estimated-tax calendars. A state that requires, say, 90% of the current year’s PTET liability to be paid by a mid-year deadline to avoid an underpayment penalty is not unusual, and that deadline is easy to miss if the firm is only thinking about the owners’ personal 1040-ES payments.</w:t>
      </w:r>
    </w:p>
    <w:p>
      <w:pPr>
        <w:spacing w:after="140" w:line="276"/>
      </w:pPr>
      <w:r>
        <w:rPr>
          <w:rFonts w:ascii="Calibri" w:cs="Calibri" w:eastAsia="Calibri" w:hAnsi="Calibri"/>
          <w:sz w:val="21"/>
          <w:szCs w:val="21"/>
        </w:rPr>
        <w:t xml:space="preserve">For a business with owners spread across multiple states, or an owner who lives in one state but the business operates (and is taxed) in several others, PTET becomes considerably more complex. Each state where the entity has nexus and offers a PTET regime requires its own separate election, its own separate calculation of the entity’s income apportioned to that state, and its own separate credit mechanism for owners. An owner’s resident state must then be checked to see whether it grants a credit for PTET paid to other states on the owner’s behalf — most, but not all, states that tax pass-through income also allow a resident credit for PTET paid elsewhere, but the mechanics (and any cap on the credit) vary and should never be assumed.</w:t>
      </w:r>
    </w:p>
    <w:p>
      <w:pPr>
        <w:pStyle w:val="ListParagraph"/>
        <w:numPr>
          <w:ilvl w:val="0"/>
          <w:numId w:val="2"/>
        </w:numPr>
        <w:spacing w:after="60" w:line="276"/>
      </w:pPr>
      <w:r>
        <w:rPr>
          <w:rFonts w:ascii="Calibri" w:cs="Calibri" w:eastAsia="Calibri" w:hAnsi="Calibri"/>
          <w:sz w:val="21"/>
          <w:szCs w:val="21"/>
        </w:rPr>
        <w:t xml:space="preserve">Build the PTET election and its payment deadlines into the firm’s standard entity tax calendar, not just the owners’ personal estimated-payment calendar — the two schedules are related but not identical, and PTET deadlines are frequently earlier than owners expect.</w:t>
      </w:r>
    </w:p>
    <w:p>
      <w:pPr>
        <w:pStyle w:val="ListParagraph"/>
        <w:numPr>
          <w:ilvl w:val="0"/>
          <w:numId w:val="2"/>
        </w:numPr>
        <w:spacing w:after="60" w:line="276"/>
      </w:pPr>
      <w:r>
        <w:rPr>
          <w:rFonts w:ascii="Calibri" w:cs="Calibri" w:eastAsia="Calibri" w:hAnsi="Calibri"/>
          <w:sz w:val="21"/>
          <w:szCs w:val="21"/>
        </w:rPr>
        <w:t xml:space="preserve">For a business operating in more than one PTET state, prepare a state-by-state apportionment schedule before the election deadline in each state, since the entity-level tax in each state is calculated only on the income apportioned to that state, not on the entity’s total income.</w:t>
      </w:r>
    </w:p>
    <w:p>
      <w:pPr>
        <w:pStyle w:val="ListParagraph"/>
        <w:numPr>
          <w:ilvl w:val="0"/>
          <w:numId w:val="2"/>
        </w:numPr>
        <w:spacing w:after="60" w:line="276"/>
      </w:pPr>
      <w:r>
        <w:rPr>
          <w:rFonts w:ascii="Calibri" w:cs="Calibri" w:eastAsia="Calibri" w:hAnsi="Calibri"/>
          <w:sz w:val="21"/>
          <w:szCs w:val="21"/>
        </w:rPr>
        <w:t xml:space="preserve">Confirm each owner’s resident-state treatment of an out-of-state PTET credit before assuming the full benefit will flow through — a state that does not grant a resident credit for PTET paid to another state can leave an owner effectively taxed twice at the state level on that portion of income.</w:t>
      </w:r>
    </w:p>
    <w:p>
      <w:pPr>
        <w:pStyle w:val="Heading2"/>
        <w:spacing w:after="80" w:before="200"/>
      </w:pPr>
      <w:r>
        <w:rPr>
          <w:rFonts w:ascii="Calibri" w:cs="Calibri" w:eastAsia="Calibri" w:hAnsi="Calibri"/>
          <w:b/>
          <w:bCs/>
          <w:color w:val="2E5496"/>
          <w:sz w:val="24"/>
          <w:szCs w:val="24"/>
        </w:rPr>
        <w:t xml:space="preserve">Where the Strategy Runs Into Trouble</w:t>
      </w:r>
    </w:p>
    <w:p>
      <w:pPr>
        <w:spacing w:after="140" w:line="276"/>
      </w:pPr>
      <w:r>
        <w:rPr>
          <w:rFonts w:ascii="Calibri" w:cs="Calibri" w:eastAsia="Calibri" w:hAnsi="Calibri"/>
          <w:sz w:val="21"/>
          <w:szCs w:val="21"/>
        </w:rPr>
        <w:t xml:space="preserve">PTET moves a real cash obligation from the owners’ personal estimated payments onto the entity’s own books, which means the entity now needs the liquidity to make that payment directly — a business that is profitable on paper but tight on cash can find the PTET payment competing with other obligations (payroll, debt service, working capital) at exactly the time the payment is due. This is a cash-flow planning question as much as a tax-savings one, and it should be modeled alongside the entity’s other cash needs, not decided in isolation.</w:t>
      </w:r>
    </w:p>
    <w:p>
      <w:pPr>
        <w:spacing w:after="140" w:line="276"/>
      </w:pPr>
      <w:r>
        <w:rPr>
          <w:rFonts w:ascii="Calibri" w:cs="Calibri" w:eastAsia="Calibri" w:hAnsi="Calibri"/>
          <w:sz w:val="21"/>
          <w:szCs w:val="21"/>
        </w:rPr>
        <w:t xml:space="preserve">Because the PTET deduction reduces the amount of income reported on each owner’s K-1, it also reduces qualified business income (QBI) available for the §199A deduction on a dollar-for-dollar basis in many cases — the QBI deduction and the PTET benefit are not simply additive, and the interaction should be modeled together rather than assuming both benefits apply in full independently.</w:t>
      </w:r>
    </w:p>
    <w:p>
      <w:pPr>
        <w:spacing w:after="140" w:line="276"/>
      </w:pPr>
      <w:r>
        <w:rPr>
          <w:rFonts w:ascii="Calibri" w:cs="Calibri" w:eastAsia="Calibri" w:hAnsi="Calibri"/>
          <w:sz w:val="21"/>
          <w:szCs w:val="21"/>
        </w:rPr>
        <w:t xml:space="preserve">An owner who is subject to the federal alternative minimum tax would ordinarily see the SALT deduction reduced or eliminated as an AMT preference item; because PTET is paid and deducted at the entity level rather than claimed as a personal itemized deduction, it generally is not an AMT add-back item for the owner, which is part of why the strategy is particularly valuable for high-income owners who might otherwise lose their SALT deduction to AMT even within the $10,000 cap.</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consulting partnership has three partners: one resident in the state where the business operates, and two who are residents of a different state but work remotely. The business elects PTET in its operating state, paying tax on its full apportioned income there. The resident partner’s home state grants a full credit for the PTET paid, eliminating any double taxation. But the two remote partners’ home state caps its credit for out-of-state PTET at the rate its own PTET regime would have charged — lower than the operating state’s rate — leaving each of them with a small amount of state tax paid to the operating state that is not fully offset by a credit at home. The firm models this gap before the election and decides it is still smaller than the $10,000-cap loss the partners would otherwise face, so the election is made anyway, with the partners informed in advance of the residual state-tax cost.</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Because PTET is a business-level election requiring the entity to actually pay real cash tax by a state deadline, treat the decision the same way any other significant cash outlay is treated: confirm the entity has (or will have, by the payment date) the liquidity to make the payment, separate from whether the election is tax-favorable in the abstract. A PTET election that saves tax on paper but forces the business to draw on a line of credit at an inopportune moment is not automatically the right call for that year.</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8. Using a Qualified Subchapter S Subsidiary (QSub) to Add a New, Related Business Line</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w:t>
      </w:r>
    </w:p>
    <w:p>
      <w:pPr>
        <w:spacing w:after="140" w:line="276"/>
      </w:pPr>
      <w:r>
        <w:rPr>
          <w:rFonts w:ascii="Calibri" w:cs="Calibri" w:eastAsia="Calibri" w:hAnsi="Calibri"/>
          <w:sz w:val="21"/>
          <w:szCs w:val="21"/>
        </w:rPr>
        <w:t xml:space="preserve">When a profitable S corporation wants to start a new but related line of business — one with a somewhat different risk profile or customer base — a common question is whether to form an entirely new, independently-elected S corporation, or to structure the new activity as a Qualified Subchapter S Subsidiary (QSub) owned by the existing S corporation. In most cases, the QSub structure is the simpler and more efficient choice.</w:t>
      </w:r>
    </w:p>
    <w:p>
      <w:pPr>
        <w:pStyle w:val="Heading2"/>
        <w:spacing w:after="80" w:before="200"/>
      </w:pPr>
      <w:r>
        <w:rPr>
          <w:rFonts w:ascii="Calibri" w:cs="Calibri" w:eastAsia="Calibri" w:hAnsi="Calibri"/>
          <w:b/>
          <w:bCs/>
          <w:color w:val="2E5496"/>
          <w:sz w:val="24"/>
          <w:szCs w:val="24"/>
        </w:rPr>
        <w:t xml:space="preserve">What a QSub Is and How It Is Treated</w:t>
      </w:r>
    </w:p>
    <w:p>
      <w:pPr>
        <w:spacing w:after="140" w:line="276"/>
      </w:pPr>
      <w:r>
        <w:rPr>
          <w:rFonts w:ascii="Calibri" w:cs="Calibri" w:eastAsia="Calibri" w:hAnsi="Calibri"/>
          <w:sz w:val="21"/>
          <w:szCs w:val="21"/>
        </w:rPr>
        <w:t xml:space="preserve">A QSub is a corporation that is 100%-owned by an existing S corporation and for which the parent has made a specific QSub election. For federal tax purposes, a QSub is treated as if it does not exist separately at all — it is "disregarded," meaning all of its income, expenses, and activity are simply reported as part of the parent S corporation’s single tax return. This means there is no second S-election to maintain, no second corporate tax return to file, and no separate reasonable-compensation analysis needed for a second entity, since everything flows into the one existing S-corp return.</w:t>
      </w:r>
    </w:p>
    <w:p>
      <w:pPr>
        <w:pStyle w:val="Heading2"/>
        <w:spacing w:after="80" w:before="200"/>
      </w:pPr>
      <w:r>
        <w:rPr>
          <w:rFonts w:ascii="Calibri" w:cs="Calibri" w:eastAsia="Calibri" w:hAnsi="Calibri"/>
          <w:b/>
          <w:bCs/>
          <w:color w:val="2E5496"/>
          <w:sz w:val="24"/>
          <w:szCs w:val="24"/>
        </w:rPr>
        <w:t xml:space="preserve">Why This Is Often Preferable to a Second S Corporation</w:t>
      </w:r>
    </w:p>
    <w:p>
      <w:pPr>
        <w:spacing w:after="140" w:line="276"/>
      </w:pPr>
      <w:r>
        <w:rPr>
          <w:rFonts w:ascii="Calibri" w:cs="Calibri" w:eastAsia="Calibri" w:hAnsi="Calibri"/>
          <w:sz w:val="21"/>
          <w:szCs w:val="21"/>
        </w:rPr>
        <w:t xml:space="preserve">Forming an entirely new, independent S corporation for a related business line means a second set of corporate formalities, a second tax return, a second reasonable-compensation determination, and potentially a second set of shareholder eligibility requirements to track (S corporations have restrictions on who can own shares and how many shareholders they can have). A QSub avoids essentially all of this administrative duplication while still providing state-law liability isolation between the two business lines — because the QSub is still its own separate legal entity for purposes of contracts, lawsuits, and liability, even though it is invisible for federal tax purposes.</w:t>
      </w:r>
    </w:p>
    <w:p>
      <w:pPr>
        <w:pStyle w:val="ListParagraph"/>
        <w:numPr>
          <w:ilvl w:val="0"/>
          <w:numId w:val="2"/>
        </w:numPr>
        <w:spacing w:after="60" w:line="276"/>
      </w:pPr>
      <w:r>
        <w:rPr>
          <w:rFonts w:ascii="Calibri" w:cs="Calibri" w:eastAsia="Calibri" w:hAnsi="Calibri"/>
          <w:sz w:val="21"/>
          <w:szCs w:val="21"/>
        </w:rPr>
        <w:t xml:space="preserve">Liability isolation depends on state law and proper entity formalities — the QSub still needs its own operating agreement or bylaws, its own contracts, and its own insurance appropriate to its specific activity, since "disregarded for tax purposes" does not mean "disregarded for liability purposes."</w:t>
      </w:r>
    </w:p>
    <w:p>
      <w:pPr>
        <w:pStyle w:val="ListParagraph"/>
        <w:numPr>
          <w:ilvl w:val="0"/>
          <w:numId w:val="2"/>
        </w:numPr>
        <w:spacing w:after="60" w:line="276"/>
      </w:pPr>
      <w:r>
        <w:rPr>
          <w:rFonts w:ascii="Calibri" w:cs="Calibri" w:eastAsia="Calibri" w:hAnsi="Calibri"/>
          <w:sz w:val="21"/>
          <w:szCs w:val="21"/>
        </w:rPr>
        <w:t xml:space="preserve">A QSub election is made by the parent S corporation on the appropriate IRS form and should be confirmed as properly filed and in effect before the new business line begins meaningful operations.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S corporation that provides IT consulting wants to launch a separate hardware-repair service under different branding, with its own storefront lease and its own liability exposure from handling customer equipment. Rather than forming a second, independently-elected S corporation, the owners form a new LLC, have the parent S corporation elect QSub treatment for it, and operate the repair business through that entity. The repair business’s income and expenses flow entirely into the parent’s existing S-corp tax return, with no second return required, while the separate LLC still provides its own liability shield for the new activity.</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9. Banking Capital Loss Carryforwards as a Future Planning Asset</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w:t>
      </w:r>
    </w:p>
    <w:p>
      <w:pPr>
        <w:spacing w:after="140" w:line="276"/>
      </w:pPr>
      <w:r>
        <w:rPr>
          <w:rFonts w:ascii="Calibri" w:cs="Calibri" w:eastAsia="Calibri" w:hAnsi="Calibri"/>
          <w:sz w:val="21"/>
          <w:szCs w:val="21"/>
        </w:rPr>
        <w:t xml:space="preserve">When an individual’s capital losses in a given year exceed their capital gains, only a limited amount of the excess loss ($3,000 per year for most individual filers) can be used to offset ordinary income like wages. Any loss beyond that amount is not lost — it carries forward indefinitely into future tax years, where it can be used to offset capital gains dollar-for-dollar, with no expiration date and no limit on the amount that can be used against gains in any single future year.</w:t>
      </w:r>
    </w:p>
    <w:p>
      <w:pPr>
        <w:pStyle w:val="Heading2"/>
        <w:spacing w:after="80" w:before="200"/>
      </w:pPr>
      <w:r>
        <w:rPr>
          <w:rFonts w:ascii="Calibri" w:cs="Calibri" w:eastAsia="Calibri" w:hAnsi="Calibri"/>
          <w:b/>
          <w:bCs/>
          <w:color w:val="2E5496"/>
          <w:sz w:val="24"/>
          <w:szCs w:val="24"/>
        </w:rPr>
        <w:t xml:space="preserve">Why This Deserves Active Planning, Not Just Passive Tracking</w:t>
      </w:r>
    </w:p>
    <w:p>
      <w:pPr>
        <w:spacing w:after="140" w:line="276"/>
      </w:pPr>
      <w:r>
        <w:rPr>
          <w:rFonts w:ascii="Calibri" w:cs="Calibri" w:eastAsia="Calibri" w:hAnsi="Calibri"/>
          <w:sz w:val="21"/>
          <w:szCs w:val="21"/>
        </w:rPr>
        <w:t xml:space="preserve">A large capital loss carryforward is a genuine, valuable tax asset — it functions almost like a stored-up deduction that can shelter a future gain from tax entirely, dollar-for-dollar, whenever that gain eventually occurs. The mistake many taxpayers make is treating a capital loss purely as a one-time bad-news item from the year it occurred, tracked (if at all) as a small footnote on a brokerage statement, rather than as a resource to actively plan around. A taxpayer who is aware they are carrying forward a large loss can deliberately time a future asset sale, or accelerate realizing a gain that was going to happen anyway, specifically to use up the banked loss and avoid paying tax on that gain when it otherwise would have been fully taxable.</w:t>
      </w:r>
    </w:p>
    <w:p>
      <w:pPr>
        <w:pStyle w:val="ListParagraph"/>
        <w:numPr>
          <w:ilvl w:val="0"/>
          <w:numId w:val="2"/>
        </w:numPr>
        <w:spacing w:after="60" w:line="276"/>
      </w:pPr>
      <w:r>
        <w:rPr>
          <w:rFonts w:ascii="Calibri" w:cs="Calibri" w:eastAsia="Calibri" w:hAnsi="Calibri"/>
          <w:sz w:val="21"/>
          <w:szCs w:val="21"/>
        </w:rPr>
        <w:t xml:space="preserve">Capital loss carryforwards retain their character (short-term or long-term) and are used against gains of the same character first, then the other character, following ordering rules under IRC § 1211–1212.</w:t>
      </w:r>
    </w:p>
    <w:p>
      <w:pPr>
        <w:pStyle w:val="ListParagraph"/>
        <w:numPr>
          <w:ilvl w:val="0"/>
          <w:numId w:val="2"/>
        </w:numPr>
        <w:spacing w:after="60" w:line="276"/>
      </w:pPr>
      <w:r>
        <w:rPr>
          <w:rFonts w:ascii="Calibri" w:cs="Calibri" w:eastAsia="Calibri" w:hAnsi="Calibri"/>
          <w:sz w:val="21"/>
          <w:szCs w:val="21"/>
        </w:rPr>
        <w:t xml:space="preserve">A carryforward loss does not expire and is not lost if unused in a given year — it simply continues forward until it is fully used or the taxpayer passes away without having used it (at which point it generally cannot be inherited or transferred).</w:t>
      </w:r>
    </w:p>
    <w:p>
      <w:pPr>
        <w:pStyle w:val="ListParagraph"/>
        <w:numPr>
          <w:ilvl w:val="0"/>
          <w:numId w:val="2"/>
        </w:numPr>
        <w:spacing w:after="60" w:line="276"/>
      </w:pPr>
      <w:r>
        <w:rPr>
          <w:rFonts w:ascii="Calibri" w:cs="Calibri" w:eastAsia="Calibri" w:hAnsi="Calibri"/>
          <w:sz w:val="21"/>
          <w:szCs w:val="21"/>
        </w:rPr>
        <w:t xml:space="preserve">Keep a running record of the carryforward amount separately from the return itself, since it is easy to lose track of over several years if it only appears as one line on a tax software carryforward worksheet.</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Elena sells an investment at a loss, realizing a $60,000 capital loss in one year. She uses $3,000 of it against her ordinary income that year, leaving a $57,000 loss carried forward. Two years later, she sells a piece of investment real estate she has owned for a decade, realizing a $50,000 long-term capital gain. Because she tracked her carryforward and planned the real estate sale with it in mind, the $50,000 gain is fully offset by her banked loss, and she pays no tax on that gain at all — using $50,000 of her $57,000 carryforward and leaving $7,000 still available for future years.</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10. Verifying Tax Data Against IRS Transcripts Before Filing or Planning</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IRS Compliance &amp; Risk Management</w:t>
      </w:r>
    </w:p>
    <w:p>
      <w:pPr>
        <w:spacing w:after="140" w:line="276"/>
      </w:pPr>
      <w:r>
        <w:rPr>
          <w:rFonts w:ascii="Calibri" w:cs="Calibri" w:eastAsia="Calibri" w:hAnsi="Calibri"/>
          <w:sz w:val="21"/>
          <w:szCs w:val="21"/>
        </w:rPr>
        <w:t xml:space="preserve">Any tax return or tax plan is only as accurate as the data it is built on. Client-provided returns, bookkeeping records, and account statements can differ — sometimes significantly — from what the IRS actually has on file for that taxpayer: payments that were misapplied, information returns (like 1099s or W-2s) the taxpayer forgot they received, or prior-year adjustments the taxpayer never mentioned. Pulling the taxpayer’s official IRS transcripts and reconciling them against the taxpayer’s own records is a simple, low-cost step that catches problems a plan built only on client-supplied numbers would miss entirely.</w:t>
      </w:r>
    </w:p>
    <w:p>
      <w:pPr>
        <w:pStyle w:val="Heading2"/>
        <w:spacing w:after="80" w:before="200"/>
      </w:pPr>
      <w:r>
        <w:rPr>
          <w:rFonts w:ascii="Calibri" w:cs="Calibri" w:eastAsia="Calibri" w:hAnsi="Calibri"/>
          <w:b/>
          <w:bCs/>
          <w:color w:val="2E5496"/>
          <w:sz w:val="24"/>
          <w:szCs w:val="24"/>
        </w:rPr>
        <w:t xml:space="preserve">What IRS Transcripts Show and Why They Matter</w:t>
      </w:r>
    </w:p>
    <w:p>
      <w:pPr>
        <w:spacing w:after="140" w:line="276"/>
      </w:pPr>
      <w:r>
        <w:rPr>
          <w:rFonts w:ascii="Calibri" w:cs="Calibri" w:eastAsia="Calibri" w:hAnsi="Calibri"/>
          <w:sz w:val="21"/>
          <w:szCs w:val="21"/>
        </w:rPr>
        <w:t xml:space="preserve">An IRS Account Transcript shows the official record of a taxpayer’s filings, payments, penalties, and adjustments for a given tax year and entity, directly from the IRS’s own systems — not from what the taxpayer believes was filed or paid. A Wage &amp; Income Transcript shows every information return (W-2, 1099, K-1, and similar forms) that was actually reported to the IRS under that taxpayer’s identification number for a given year, regardless of whether the taxpayer remembered to mention it.</w:t>
      </w:r>
    </w:p>
    <w:p>
      <w:pPr>
        <w:spacing w:after="140" w:line="276"/>
      </w:pPr>
      <w:r>
        <w:rPr>
          <w:rFonts w:ascii="Calibri" w:cs="Calibri" w:eastAsia="Calibri" w:hAnsi="Calibri"/>
          <w:sz w:val="21"/>
          <w:szCs w:val="21"/>
        </w:rPr>
        <w:t xml:space="preserve">Before finalizing a tax return — and especially before relying on a return that contains any unexplained or unusual income items — pulling and reviewing these transcripts confirms that every reported income item has an identified source, that all payments and prior-year credits the taxpayer believes exist are actually recorded by the IRS, and that no additional income document exists that the taxpayer simply forgot to provide.</w:t>
      </w:r>
    </w:p>
    <w:p>
      <w:pPr>
        <w:pStyle w:val="ListParagraph"/>
        <w:numPr>
          <w:ilvl w:val="0"/>
          <w:numId w:val="2"/>
        </w:numPr>
        <w:spacing w:after="60" w:line="276"/>
      </w:pPr>
      <w:r>
        <w:rPr>
          <w:rFonts w:ascii="Calibri" w:cs="Calibri" w:eastAsia="Calibri" w:hAnsi="Calibri"/>
          <w:sz w:val="21"/>
          <w:szCs w:val="21"/>
        </w:rPr>
        <w:t xml:space="preserve">To access a taxpayer’s transcripts, a tax professional generally needs a signed authorization from the taxpayer — typically Form 8821 (Tax Information Authorization) for read-only access, or Form 2848 (Power of Attorney) if the professional will also need to represent the taxpayer before the IRS.</w:t>
      </w:r>
    </w:p>
    <w:p>
      <w:pPr>
        <w:pStyle w:val="ListParagraph"/>
        <w:numPr>
          <w:ilvl w:val="0"/>
          <w:numId w:val="2"/>
        </w:numPr>
        <w:spacing w:after="60" w:line="276"/>
      </w:pPr>
      <w:r>
        <w:rPr>
          <w:rFonts w:ascii="Calibri" w:cs="Calibri" w:eastAsia="Calibri" w:hAnsi="Calibri"/>
          <w:sz w:val="21"/>
          <w:szCs w:val="21"/>
        </w:rPr>
        <w:t xml:space="preserve">This step is especially important whenever a return contains income items with no clearly identified source, or whenever there has been a change in preparer, since prior-year issues may not have been fully resolved or communicated.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draft tax return shows several thousand dollars of "other income" and unusually high reported interest income, with no corresponding document in the taxpayer’s own files explaining where those amounts came from. Rather than filing the return as drafted, the preparer pulls a Wage &amp; Income Transcript, discovers a 1099 the taxpayer had genuinely forgotten they received from a small side account, and confirms the correct amount before the taxpayer signs and the return is filed.</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A transcript pull is inexpensive and fast relative to the risk it addresses — an unresolved discrepancy discovered by the IRS after filing is far more costly, in both time and potential penalties, than catching it beforehand.</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11. Self-Employment Tax Exposure for Active LLC and Partnership Members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Partnership / LLC</w:t>
      </w:r>
    </w:p>
    <w:p>
      <w:pPr>
        <w:spacing w:after="140" w:line="276"/>
      </w:pPr>
      <w:r>
        <w:rPr>
          <w:rFonts w:ascii="Calibri" w:cs="Calibri" w:eastAsia="Calibri" w:hAnsi="Calibri"/>
          <w:sz w:val="21"/>
          <w:szCs w:val="21"/>
        </w:rPr>
        <w:t xml:space="preserve">A partner or LLC member who actually works in the business — making decisions, running operations, generating revenue — is not automatically exempt from self-employment tax just because their ownership is held through an LLC or a limited-partner interest. A narrow exception in the tax code was written for genuinely passive limited partners, and both the IRS and the Tax Court have become far more willing to look past the label on the K-1 and ask what the person actually does.</w:t>
      </w:r>
    </w:p>
    <w:p>
      <w:pPr>
        <w:pStyle w:val="Heading2"/>
        <w:spacing w:after="80" w:before="200"/>
      </w:pPr>
      <w:r>
        <w:rPr>
          <w:rFonts w:ascii="Calibri" w:cs="Calibri" w:eastAsia="Calibri" w:hAnsi="Calibri"/>
          <w:b/>
          <w:bCs/>
          <w:color w:val="2E5496"/>
          <w:sz w:val="24"/>
          <w:szCs w:val="24"/>
        </w:rPr>
        <w:t xml:space="preserve">The Limited-Partner Exception and Why It Is Narrower Than It Looks</w:t>
      </w:r>
    </w:p>
    <w:p>
      <w:pPr>
        <w:spacing w:after="140" w:line="276"/>
      </w:pPr>
      <w:r>
        <w:rPr>
          <w:rFonts w:ascii="Calibri" w:cs="Calibri" w:eastAsia="Calibri" w:hAnsi="Calibri"/>
          <w:sz w:val="21"/>
          <w:szCs w:val="21"/>
        </w:rPr>
        <w:t xml:space="preserve">Under IRC § 1402(a)(13), a limited partner’s distributive share of partnership income is generally excluded from self-employment tax, on the theory that a limited partner is a passive investor, not someone earning income through their own labor. Historically, many people who set up an LLC (rather than a traditional limited partnership) assumed that any LLC member could be treated as a "limited partner" for this purpose, since state LLC law does not have the same limited-versus-general-partner distinction.</w:t>
      </w:r>
    </w:p>
    <w:p>
      <w:pPr>
        <w:spacing w:after="140" w:line="276"/>
      </w:pPr>
      <w:r>
        <w:rPr>
          <w:rFonts w:ascii="Calibri" w:cs="Calibri" w:eastAsia="Calibri" w:hAnsi="Calibri"/>
          <w:sz w:val="21"/>
          <w:szCs w:val="21"/>
        </w:rPr>
        <w:t xml:space="preserve">Courts have rejected that assumption. In Renkemeyer, the Tax Court held that LLC members who were actively practicing attorneys generating the firm’s income could not claim the limited-partner exception, because the exception is meant for a passive return on capital, not compensation for services rendered. More recently, in Soroban Capital Partners, the Tax Court confirmed that the label "limited partner" on a state law entity does not control — what controls is a functional analysis of the partner’s actual role, and a partner who manages the business and generates its income is subject to self-employment tax on that share regardless of what the entity calls them.</w:t>
      </w:r>
    </w:p>
    <w:p>
      <w:pPr>
        <w:spacing w:after="140" w:line="276"/>
      </w:pPr>
      <w:r>
        <w:rPr>
          <w:rFonts w:ascii="Calibri" w:cs="Calibri" w:eastAsia="Calibri" w:hAnsi="Calibri"/>
          <w:sz w:val="21"/>
          <w:szCs w:val="21"/>
        </w:rPr>
        <w:t xml:space="preserve">The practical consequence: a working owner in an LLC taxed as a partnership should generally have their distributive share reported as subject to self-employment tax (reflected on Schedule K-1, box 14a) if they materially participate in running the business. Reporting an active owner’s entire share as exempt limited-partner income, purely because the entity is an LLC, is an increasingly targeted position on audit.</w:t>
      </w:r>
    </w:p>
    <w:p>
      <w:pPr>
        <w:pStyle w:val="ListParagraph"/>
        <w:numPr>
          <w:ilvl w:val="0"/>
          <w:numId w:val="2"/>
        </w:numPr>
        <w:spacing w:after="60" w:line="276"/>
      </w:pPr>
      <w:r>
        <w:rPr>
          <w:rFonts w:ascii="Calibri" w:cs="Calibri" w:eastAsia="Calibri" w:hAnsi="Calibri"/>
          <w:sz w:val="21"/>
          <w:szCs w:val="21"/>
        </w:rPr>
        <w:t xml:space="preserve">The relevant question is functional, not formal: does this person manage the business, make key decisions, and generate its income, or are they a passive capital investor with no operational role?</w:t>
      </w:r>
    </w:p>
    <w:p>
      <w:pPr>
        <w:pStyle w:val="ListParagraph"/>
        <w:numPr>
          <w:ilvl w:val="0"/>
          <w:numId w:val="2"/>
        </w:numPr>
        <w:spacing w:after="60" w:line="276"/>
      </w:pPr>
      <w:r>
        <w:rPr>
          <w:rFonts w:ascii="Calibri" w:cs="Calibri" w:eastAsia="Calibri" w:hAnsi="Calibri"/>
          <w:sz w:val="21"/>
          <w:szCs w:val="21"/>
        </w:rPr>
        <w:t xml:space="preserve">Getting this right can matter for reasons beyond immediate self-employment tax cost — for instance, self-employment income is what makes a partner eligible to have a qualified retirement plan fund a larger contribution on their behalf.</w:t>
      </w:r>
    </w:p>
    <w:p>
      <w:pPr>
        <w:pStyle w:val="ListParagraph"/>
        <w:numPr>
          <w:ilvl w:val="0"/>
          <w:numId w:val="2"/>
        </w:numPr>
        <w:spacing w:after="60" w:line="276"/>
      </w:pPr>
      <w:r>
        <w:rPr>
          <w:rFonts w:ascii="Calibri" w:cs="Calibri" w:eastAsia="Calibri" w:hAnsi="Calibri"/>
          <w:sz w:val="21"/>
          <w:szCs w:val="21"/>
        </w:rPr>
        <w:t xml:space="preserve">Where multiple partners genuinely do participate, document each partner’s role in writing (board minutes, a partnership resolution, a job description) so the self-employment tax position has support beyond the K-1 checkbox.</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Two co-founders each hold a 40% interest in an LLC that operates a consulting business, both working full-time running client engagements and managing staff; a third investor holds the remaining 20% purely as passive capital with no operational role. The two working founders’ shares of income should be reported as subject to self-employment tax (their K-1s coded as general/active partners), while the passive investor’s 20% share can properly rely on the limited-partner exception.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12. Holding Third-Party Funds as Agent Rather Than as Business Income</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w:t>
      </w:r>
    </w:p>
    <w:p>
      <w:pPr>
        <w:spacing w:after="140" w:line="276"/>
      </w:pPr>
      <w:r>
        <w:rPr>
          <w:rFonts w:ascii="Calibri" w:cs="Calibri" w:eastAsia="Calibri" w:hAnsi="Calibri"/>
          <w:sz w:val="21"/>
          <w:szCs w:val="21"/>
        </w:rPr>
        <w:t xml:space="preserve">Not every dollar that flows through a business’s bank account is that business’s income. When a business collects money that legally belongs to someone else and simply passes it along — acting as an agent or conduit rather than as the owner of the funds — that money is not gross income to the business, provided the arrangement is real and properly documented.</w:t>
      </w:r>
    </w:p>
    <w:p>
      <w:pPr>
        <w:pStyle w:val="Heading2"/>
        <w:spacing w:after="80" w:before="200"/>
      </w:pPr>
      <w:r>
        <w:rPr>
          <w:rFonts w:ascii="Calibri" w:cs="Calibri" w:eastAsia="Calibri" w:hAnsi="Calibri"/>
          <w:b/>
          <w:bCs/>
          <w:color w:val="2E5496"/>
          <w:sz w:val="24"/>
          <w:szCs w:val="24"/>
        </w:rPr>
        <w:t xml:space="preserve">The Agency Principle</w:t>
      </w:r>
    </w:p>
    <w:p>
      <w:pPr>
        <w:spacing w:after="140" w:line="276"/>
      </w:pPr>
      <w:r>
        <w:rPr>
          <w:rFonts w:ascii="Calibri" w:cs="Calibri" w:eastAsia="Calibri" w:hAnsi="Calibri"/>
          <w:sz w:val="21"/>
          <w:szCs w:val="21"/>
        </w:rPr>
        <w:t xml:space="preserve">The general rule is that a taxpayer who receives money under a claim of right, with no restriction on its use, has taxable income even if they might later have to repay it. But this rule assumes the recipient is receiving the money for themselves. Where a business instead receives funds explicitly on behalf of another party — for example, managing client accounts, collecting insurance claims on someone else’s behalf, or acting as a billing intermediary — and is contractually obligated to remit that money to the true owner, the funds are not income to the collecting business; they are held as an agent, similar to a trustee.</w:t>
      </w:r>
    </w:p>
    <w:p>
      <w:pPr>
        <w:spacing w:after="140" w:line="276"/>
      </w:pPr>
      <w:r>
        <w:rPr>
          <w:rFonts w:ascii="Calibri" w:cs="Calibri" w:eastAsia="Calibri" w:hAnsi="Calibri"/>
          <w:sz w:val="21"/>
          <w:szCs w:val="21"/>
        </w:rPr>
        <w:t xml:space="preserve">The IRS and courts look at substance, not labels. A business that calls money "held for a client" but commingles it with its own operating cash, uses it to cover its own expenses, or has no written agreement establishing the agency relationship risks having the entire amount treated as its own taxable income — exactly the outcome the agency treatment is supposed to avoid.</w:t>
      </w:r>
    </w:p>
    <w:p>
      <w:pPr>
        <w:pStyle w:val="ListParagraph"/>
        <w:numPr>
          <w:ilvl w:val="0"/>
          <w:numId w:val="2"/>
        </w:numPr>
        <w:spacing w:after="60" w:line="276"/>
      </w:pPr>
      <w:r>
        <w:rPr>
          <w:rFonts w:ascii="Calibri" w:cs="Calibri" w:eastAsia="Calibri" w:hAnsi="Calibri"/>
          <w:sz w:val="21"/>
          <w:szCs w:val="21"/>
        </w:rPr>
        <w:t xml:space="preserve">Put the agency relationship in writing: a custody or management agreement specifying whose money it is, what the business is authorized to do with it, and when it must be remitted.</w:t>
      </w:r>
    </w:p>
    <w:p>
      <w:pPr>
        <w:pStyle w:val="ListParagraph"/>
        <w:numPr>
          <w:ilvl w:val="0"/>
          <w:numId w:val="2"/>
        </w:numPr>
        <w:spacing w:after="60" w:line="276"/>
      </w:pPr>
      <w:r>
        <w:rPr>
          <w:rFonts w:ascii="Calibri" w:cs="Calibri" w:eastAsia="Calibri" w:hAnsi="Calibri"/>
          <w:sz w:val="21"/>
          <w:szCs w:val="21"/>
        </w:rPr>
        <w:t xml:space="preserve">Keep the funds in a segregated account, separate from the business’s own operating cash — commingling is the single strongest evidence against agency treatment on examination.</w:t>
      </w:r>
    </w:p>
    <w:p>
      <w:pPr>
        <w:pStyle w:val="ListParagraph"/>
        <w:numPr>
          <w:ilvl w:val="0"/>
          <w:numId w:val="2"/>
        </w:numPr>
        <w:spacing w:after="60" w:line="276"/>
      </w:pPr>
      <w:r>
        <w:rPr>
          <w:rFonts w:ascii="Calibri" w:cs="Calibri" w:eastAsia="Calibri" w:hAnsi="Calibri"/>
          <w:sz w:val="21"/>
          <w:szCs w:val="21"/>
        </w:rPr>
        <w:t xml:space="preserve">Reconcile the account regularly so the recorded liability (money owed to the true owner) matches the actual cash held — a large, unreconciled "custody" balance that does not tie to real third-party claims looks exactly like unreported income to an examiner.</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management company collects insurance-claim proceeds on behalf of medical practices it services but does not own, under a written management agreement specifying the money is held for the practices and must be remitted on a set schedule. Provided the funds are kept in a segregated account and the agreement is followed, those proceeds are not gross income to the management company — only its management fee is.</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This is a facts-and-circumstances area, and a large custodial balance that has been allowed to commingle with operating cash for an extended period is a common and serious audit exposure — it should be unwound and properly segregated as soon as it is identified, not left to accumulate further.</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13. Documenting Intercompany Charges Between Related Entities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w:t>
      </w:r>
    </w:p>
    <w:p>
      <w:pPr>
        <w:spacing w:after="140" w:line="276"/>
      </w:pPr>
      <w:r>
        <w:rPr>
          <w:rFonts w:ascii="Calibri" w:cs="Calibri" w:eastAsia="Calibri" w:hAnsi="Calibri"/>
          <w:sz w:val="21"/>
          <w:szCs w:val="21"/>
        </w:rPr>
        <w:t xml:space="preserve">When a business is split across multiple related entities — for example, an operating company and a separate management or administrative-services entity under common ownership — money and services frequently move between them. Without a written agreement and consistent bookkeeping, the IRS can reallocate income and deductions between the entities however it believes better reflects economic reality, and the entities’ own books may simply fail to tie together in a way that invites scrutiny even before the IRS gets involved.</w:t>
      </w:r>
    </w:p>
    <w:p>
      <w:pPr>
        <w:pStyle w:val="Heading2"/>
        <w:spacing w:after="80" w:before="200"/>
      </w:pPr>
      <w:r>
        <w:rPr>
          <w:rFonts w:ascii="Calibri" w:cs="Calibri" w:eastAsia="Calibri" w:hAnsi="Calibri"/>
          <w:b/>
          <w:bCs/>
          <w:color w:val="2E5496"/>
          <w:sz w:val="24"/>
          <w:szCs w:val="24"/>
        </w:rPr>
        <w:t xml:space="preserve">Why Intercompany Agreements Matter</w:t>
      </w:r>
    </w:p>
    <w:p>
      <w:pPr>
        <w:spacing w:after="140" w:line="276"/>
      </w:pPr>
      <w:r>
        <w:rPr>
          <w:rFonts w:ascii="Calibri" w:cs="Calibri" w:eastAsia="Calibri" w:hAnsi="Calibri"/>
          <w:sz w:val="21"/>
          <w:szCs w:val="21"/>
        </w:rPr>
        <w:t xml:space="preserve">IRC § 482 gives the IRS broad authority to reallocate income, deductions, and credits among related entities when the arrangement between them does not reflect an arm’s-length result — the price or fee unrelated parties would have agreed to. This applies even when both entities are ultimately owned by the same people and the total tax paid across the group might seem unaffected; a mismatch between entities can still shift income into a more favorable tax position (for instance, into an entity that can absorb it with losses or a lower rate), which is exactly what § 482 is designed to prevent.</w:t>
      </w:r>
    </w:p>
    <w:p>
      <w:pPr>
        <w:spacing w:after="140" w:line="276"/>
      </w:pPr>
      <w:r>
        <w:rPr>
          <w:rFonts w:ascii="Calibri" w:cs="Calibri" w:eastAsia="Calibri" w:hAnsi="Calibri"/>
          <w:sz w:val="21"/>
          <w:szCs w:val="21"/>
        </w:rPr>
        <w:t xml:space="preserve">Beyond the specific reallocation risk, a common and more basic problem is that intercompany charges (a management fee, a cost-sharing arrangement, rent between related entities) are never formally documented at all — one entity’s books show an expense, the other entity’s books do not show the matching income in the same amount, and nobody can explain the discrepancy without reconstructing it after the fact.</w:t>
      </w:r>
    </w:p>
    <w:p>
      <w:pPr>
        <w:pStyle w:val="ListParagraph"/>
        <w:numPr>
          <w:ilvl w:val="0"/>
          <w:numId w:val="2"/>
        </w:numPr>
        <w:spacing w:after="60" w:line="276"/>
      </w:pPr>
      <w:r>
        <w:rPr>
          <w:rFonts w:ascii="Calibri" w:cs="Calibri" w:eastAsia="Calibri" w:hAnsi="Calibri"/>
          <w:sz w:val="21"/>
          <w:szCs w:val="21"/>
        </w:rPr>
        <w:t xml:space="preserve">Put every recurring intercompany charge (management fees, cost allocations, rent, shared payroll) in a written agreement specifying the amount or formula, the timing, and what services or use it covers.</w:t>
      </w:r>
    </w:p>
    <w:p>
      <w:pPr>
        <w:pStyle w:val="ListParagraph"/>
        <w:numPr>
          <w:ilvl w:val="0"/>
          <w:numId w:val="2"/>
        </w:numPr>
        <w:spacing w:after="60" w:line="276"/>
      </w:pPr>
      <w:r>
        <w:rPr>
          <w:rFonts w:ascii="Calibri" w:cs="Calibri" w:eastAsia="Calibri" w:hAnsi="Calibri"/>
          <w:sz w:val="21"/>
          <w:szCs w:val="21"/>
        </w:rPr>
        <w:t xml:space="preserve">Set the fee at a defensible arm’s-length rate — benchmarked to what an unrelated party would charge for the same service — rather than an arbitrary round number.</w:t>
      </w:r>
    </w:p>
    <w:p>
      <w:pPr>
        <w:pStyle w:val="ListParagraph"/>
        <w:numPr>
          <w:ilvl w:val="0"/>
          <w:numId w:val="2"/>
        </w:numPr>
        <w:spacing w:after="60" w:line="276"/>
      </w:pPr>
      <w:r>
        <w:rPr>
          <w:rFonts w:ascii="Calibri" w:cs="Calibri" w:eastAsia="Calibri" w:hAnsi="Calibri"/>
          <w:sz w:val="21"/>
          <w:szCs w:val="21"/>
        </w:rPr>
        <w:t xml:space="preserve">Reconcile the entities’ books periodically to confirm the expense recorded on one side matches the income recorded on the other; a persistent, unexplained gap between the two is a red flag worth investigating immediately, not at year-end.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operating company pays a related administrative-services entity a monthly management fee for payroll processing, HR, and back-office support. The two entities execute a written management agreement setting the fee at 4% of the operating company’s revenue — benchmarked against what a third-party administrative-services provider would typically charge — and both entities’ bookkeepers reconcile the recorded expense and income each quarter to confirm they match.</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14. Eliminating Estimated-Tax Penalties Through Payroll Withholding Timing</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  ·  IRS Compliance &amp; Risk Management</w:t>
      </w:r>
    </w:p>
    <w:p>
      <w:pPr>
        <w:spacing w:after="140" w:line="276"/>
      </w:pPr>
      <w:r>
        <w:rPr>
          <w:rFonts w:ascii="Calibri" w:cs="Calibri" w:eastAsia="Calibri" w:hAnsi="Calibri"/>
          <w:sz w:val="21"/>
          <w:szCs w:val="21"/>
        </w:rPr>
        <w:t xml:space="preserve">Many taxpayers who receive a large, irregular income event — a bonus, a business distribution, a one-time capital gain — end up owing an underpayment penalty simply because they did not send in quarterly estimated payments. There is a legal way to eliminate that penalty entirely without ever writing an estimated-tax check, for anyone who also receives W-2 wages from an S-corporation or other payroll-paying business they control.</w:t>
      </w:r>
    </w:p>
    <w:p>
      <w:pPr>
        <w:pStyle w:val="Heading2"/>
        <w:spacing w:after="80" w:before="200"/>
      </w:pPr>
      <w:r>
        <w:rPr>
          <w:rFonts w:ascii="Calibri" w:cs="Calibri" w:eastAsia="Calibri" w:hAnsi="Calibri"/>
          <w:b/>
          <w:bCs/>
          <w:color w:val="2E5496"/>
          <w:sz w:val="24"/>
          <w:szCs w:val="24"/>
        </w:rPr>
        <w:t xml:space="preserve">Why Withholding Timing Is Different From Estimated Payments</w:t>
      </w:r>
    </w:p>
    <w:p>
      <w:pPr>
        <w:spacing w:after="140" w:line="276"/>
      </w:pPr>
      <w:r>
        <w:rPr>
          <w:rFonts w:ascii="Calibri" w:cs="Calibri" w:eastAsia="Calibri" w:hAnsi="Calibri"/>
          <w:sz w:val="21"/>
          <w:szCs w:val="21"/>
        </w:rPr>
        <w:t xml:space="preserve">The tax code requires individuals to pay, throughout the year, either 90% of the current year’s tax or a "safe harbor" percentage of the prior year’s tax (100%, or 110% if the prior year’s adjusted gross income was over $150,000) to avoid an underpayment penalty under IRC § 6654. Quarterly estimated payments count toward this requirement based on when they are actually paid — a payment made in the fourth quarter does not help cover a shortfall from the first quarter.</w:t>
      </w:r>
    </w:p>
    <w:p>
      <w:pPr>
        <w:spacing w:after="140" w:line="276"/>
      </w:pPr>
      <w:r>
        <w:rPr>
          <w:rFonts w:ascii="Calibri" w:cs="Calibri" w:eastAsia="Calibri" w:hAnsi="Calibri"/>
          <w:sz w:val="21"/>
          <w:szCs w:val="21"/>
        </w:rPr>
        <w:t xml:space="preserve">Tax withheld from wages is treated completely differently: under IRC § 31(a) and § 6654(g), withholding is deemed to have been paid evenly across the entire year, regardless of when it was actually withheld from a paycheck. This means a taxpayer who controls their own payroll (for example, an S-corporation owner-employee) can increase their withholding late in the year — even in the final payroll run of December — and have that withholding treated, for penalty purposes, as if it had been paid ratably since January.</w:t>
      </w:r>
    </w:p>
    <w:p>
      <w:pPr>
        <w:spacing w:after="140" w:line="276"/>
      </w:pPr>
      <w:r>
        <w:rPr>
          <w:rFonts w:ascii="Calibri" w:cs="Calibri" w:eastAsia="Calibri" w:hAnsi="Calibri"/>
          <w:sz w:val="21"/>
          <w:szCs w:val="21"/>
        </w:rPr>
        <w:t xml:space="preserve">This is genuinely useful for someone who wants to avoid sending quarterly estimated payments (for cash-flow reasons, or simply out of preference) but still wants to avoid the underpayment penalty: a large withholding adjustment on the last payroll or two of the year can retroactively cure an entire year’s underpayment, with no cash outlay before then.</w:t>
      </w:r>
    </w:p>
    <w:p>
      <w:pPr>
        <w:pStyle w:val="ListParagraph"/>
        <w:numPr>
          <w:ilvl w:val="0"/>
          <w:numId w:val="2"/>
        </w:numPr>
        <w:spacing w:after="60" w:line="276"/>
      </w:pPr>
      <w:r>
        <w:rPr>
          <w:rFonts w:ascii="Calibri" w:cs="Calibri" w:eastAsia="Calibri" w:hAnsi="Calibri"/>
          <w:sz w:val="21"/>
          <w:szCs w:val="21"/>
        </w:rPr>
        <w:t xml:space="preserve">This only works with actual wage withholding — it does not apply to withholding-in-name-only or to estimated payments, which are only credited as of the date paid.</w:t>
      </w:r>
    </w:p>
    <w:p>
      <w:pPr>
        <w:pStyle w:val="ListParagraph"/>
        <w:numPr>
          <w:ilvl w:val="0"/>
          <w:numId w:val="2"/>
        </w:numPr>
        <w:spacing w:after="60" w:line="276"/>
      </w:pPr>
      <w:r>
        <w:rPr>
          <w:rFonts w:ascii="Calibri" w:cs="Calibri" w:eastAsia="Calibri" w:hAnsi="Calibri"/>
          <w:sz w:val="21"/>
          <w:szCs w:val="21"/>
        </w:rPr>
        <w:t xml:space="preserve">Calculate the correct safe-harbor target (usually 100% or 110% of last year’s total tax) before the final payroll runs of the year, so the year-end withholding adjustment is large enough to cover the full-year shortfall.</w:t>
      </w:r>
    </w:p>
    <w:p>
      <w:pPr>
        <w:pStyle w:val="ListParagraph"/>
        <w:numPr>
          <w:ilvl w:val="0"/>
          <w:numId w:val="2"/>
        </w:numPr>
        <w:spacing w:after="60" w:line="276"/>
      </w:pPr>
      <w:r>
        <w:rPr>
          <w:rFonts w:ascii="Calibri" w:cs="Calibri" w:eastAsia="Calibri" w:hAnsi="Calibri"/>
          <w:sz w:val="21"/>
          <w:szCs w:val="21"/>
        </w:rPr>
        <w:t xml:space="preserve">This defers cash payment of the underlying tax bill to the payroll date, but it does not defer the tax itself — the goal is eliminating the penalty for underpayment timing, not reducing the total tax owed.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owner receives a large one-time distribution in March but pays no estimated tax during the year, preferring to keep the cash available. In the final December payroll run from their S-corporation, they have the company withhold an additional lump sum of federal income tax sufficient to bring total withholding for the year up to 110% of the prior year’s tax liability. Because withholding is deemed paid ratably throughout the year, this eliminates the underpayment penalty entirely, even though no payment was made until December.</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15. Substantiating Business Vehicle Deductions Under § 274(d)</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w:t>
      </w:r>
    </w:p>
    <w:p>
      <w:pPr>
        <w:spacing w:after="140" w:line="276"/>
      </w:pPr>
      <w:r>
        <w:rPr>
          <w:rFonts w:ascii="Calibri" w:cs="Calibri" w:eastAsia="Calibri" w:hAnsi="Calibri"/>
          <w:sz w:val="21"/>
          <w:szCs w:val="21"/>
        </w:rPr>
        <w:t xml:space="preserve">A vehicle used partly for business is one of the most commonly claimed — and most commonly disallowed on audit — deductions, because the substantiation rules for vehicles are stricter than for almost any other business expense. Getting the structure and the recordkeeping right up front is what actually makes the deduction defensible.</w:t>
      </w:r>
    </w:p>
    <w:p>
      <w:pPr>
        <w:pStyle w:val="Heading2"/>
        <w:spacing w:after="80" w:before="200"/>
      </w:pPr>
      <w:r>
        <w:rPr>
          <w:rFonts w:ascii="Calibri" w:cs="Calibri" w:eastAsia="Calibri" w:hAnsi="Calibri"/>
          <w:b/>
          <w:bCs/>
          <w:color w:val="2E5496"/>
          <w:sz w:val="24"/>
          <w:szCs w:val="24"/>
        </w:rPr>
        <w:t xml:space="preserve">How the Deduction Works and Why Records Are Non-Negotiable</w:t>
      </w:r>
    </w:p>
    <w:p>
      <w:pPr>
        <w:spacing w:after="140" w:line="276"/>
      </w:pPr>
      <w:r>
        <w:rPr>
          <w:rFonts w:ascii="Calibri" w:cs="Calibri" w:eastAsia="Calibri" w:hAnsi="Calibri"/>
          <w:sz w:val="21"/>
          <w:szCs w:val="21"/>
        </w:rPr>
        <w:t xml:space="preserve">A vehicle used for business can generate a deduction whether it is owned or leased by the business itself, or owned personally with business mileage reimbursed. Either way, only the business-use percentage of the vehicle’s cost (or lease payments) and operating expenses is deductible; the personal-use percentage is not, and if the vehicle is owned by the business, personal use by the owner is generally treated as a taxable fringe benefit that must be added to their wages.</w:t>
      </w:r>
    </w:p>
    <w:p>
      <w:pPr>
        <w:spacing w:after="140" w:line="276"/>
      </w:pPr>
      <w:r>
        <w:rPr>
          <w:rFonts w:ascii="Calibri" w:cs="Calibri" w:eastAsia="Calibri" w:hAnsi="Calibri"/>
          <w:sz w:val="21"/>
          <w:szCs w:val="21"/>
        </w:rPr>
        <w:t xml:space="preserve">IRC § 274(d) imposes a stricter substantiation standard for vehicles (along with travel and certain other listed property) than for ordinary business expenses: the taxpayer must have contemporaneous records of the amount, the date, the business purpose, and — specifically for vehicles — the mileage for each business use. A general estimate ("I use it about 70% for business") is not sufficient. Courts have repeatedly disallowed vehicle deductions in full for lack of a contemporaneous log, even where the underlying business use was probably real.</w:t>
      </w:r>
    </w:p>
    <w:p>
      <w:pPr>
        <w:spacing w:after="140" w:line="276"/>
      </w:pPr>
      <w:r>
        <w:rPr>
          <w:rFonts w:ascii="Calibri" w:cs="Calibri" w:eastAsia="Calibri" w:hAnsi="Calibri"/>
          <w:sz w:val="21"/>
          <w:szCs w:val="21"/>
        </w:rPr>
        <w:t xml:space="preserve">If the vehicle is leased, § 280F also imposes a "lease inclusion amount" for higher-value vehicles — a small amount added back to income to keep the economics roughly equivalent to what depreciation limits would produce for a purchased vehicle of the same value — which reduces the net deduction slightly but does not eliminate the benefit of leasing.</w:t>
      </w:r>
    </w:p>
    <w:p>
      <w:pPr>
        <w:pStyle w:val="ListParagraph"/>
        <w:numPr>
          <w:ilvl w:val="0"/>
          <w:numId w:val="2"/>
        </w:numPr>
        <w:spacing w:after="60" w:line="276"/>
      </w:pPr>
      <w:r>
        <w:rPr>
          <w:rFonts w:ascii="Calibri" w:cs="Calibri" w:eastAsia="Calibri" w:hAnsi="Calibri"/>
          <w:sz w:val="21"/>
          <w:szCs w:val="21"/>
        </w:rPr>
        <w:t xml:space="preserve">Keep a contemporaneous mileage log (a smartphone app that timestamps and geotags trips is far more defensible than a log reconstructed later from memory) — this is the single most audit-relevant piece of documentation for any vehicle deduction.</w:t>
      </w:r>
    </w:p>
    <w:p>
      <w:pPr>
        <w:pStyle w:val="ListParagraph"/>
        <w:numPr>
          <w:ilvl w:val="0"/>
          <w:numId w:val="2"/>
        </w:numPr>
        <w:spacing w:after="60" w:line="276"/>
      </w:pPr>
      <w:r>
        <w:rPr>
          <w:rFonts w:ascii="Calibri" w:cs="Calibri" w:eastAsia="Calibri" w:hAnsi="Calibri"/>
          <w:sz w:val="21"/>
          <w:szCs w:val="21"/>
        </w:rPr>
        <w:t xml:space="preserve">Decide up front which entity will own or lease the vehicle and where the deduction will be claimed, since restructuring after the fact (once habits and records are already in place) is far more disruptive than deciding correctly at acquisition.</w:t>
      </w:r>
    </w:p>
    <w:p>
      <w:pPr>
        <w:pStyle w:val="ListParagraph"/>
        <w:numPr>
          <w:ilvl w:val="0"/>
          <w:numId w:val="2"/>
        </w:numPr>
        <w:spacing w:after="60" w:line="276"/>
      </w:pPr>
      <w:r>
        <w:rPr>
          <w:rFonts w:ascii="Calibri" w:cs="Calibri" w:eastAsia="Calibri" w:hAnsi="Calibri"/>
          <w:sz w:val="21"/>
          <w:szCs w:val="21"/>
        </w:rPr>
        <w:t xml:space="preserve">If the vehicle is personally owned, use an accountable-plan mileage reimbursement (see the home-office accountable-plan mechanics, which work the same way for vehicle mileage) so the reimbursement is deductible to the business and tax-free to the individual.</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owner buys a $45,000 SUV titled in the company's name and uses it for both client visits and personal errands. Over the year she drives 18,000 total miles, of which a contemporaneous mileage-log app records 12,600 as business trips (70%) — each entry time-stamped automatically with date, mileage, and a business-purpose note typed in at the time of the trip. Total vehicle costs for the year (depreciation limited under § 280F, insurance, fuel, maintenance) come to $14,000. Because 70% of the mileage is properly substantiated as business use, the company deducts 70% × $14,000 = $9,800; the remaining 30%, or $4,200 of cost, is personal and non-deductible, and because the vehicle is titled to the company, that same $4,200 of personal-use value must additionally be added to her W-2 wages as a taxable fringe benefit under Treas. Reg. § 1.61-21. Contrast this with a second owner who drives a similar vehicle and estimates "about 70% business use" without any log at all: on examination, the IRS disallows the entire deduction — not 30% of it, all of it — because § 274(d)'s stricter substantiation standard treats an unsubstantiated estimate as no different from a random guess, regardless of whether the underlying business use was genuine.</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The gap between these two owners is not the accuracy of their estimate — both may have driven roughly 70% for business — it is entirely whether a contemporaneous record exists. This is the one area of the tax code where being probably right, but undocumented, produces the same result as being entirely wrong.</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16. Partner Basis Limits on Distributions from an LLC or Partnership</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Partnership / LLC</w:t>
      </w:r>
    </w:p>
    <w:p>
      <w:pPr>
        <w:spacing w:after="140" w:line="276"/>
      </w:pPr>
      <w:r>
        <w:rPr>
          <w:rFonts w:ascii="Calibri" w:cs="Calibri" w:eastAsia="Calibri" w:hAnsi="Calibri"/>
          <w:sz w:val="21"/>
          <w:szCs w:val="21"/>
        </w:rPr>
        <w:t xml:space="preserve">A partner or LLC member can generally take cash distributions from the business tax-free — but only up to the amount of their "outside basis" in the partnership interest. A distribution that exceeds a partner’s basis is not simply a tax-free return of capital; the excess is taxable gain, and it is easy for a growing, cash-generative business to cross that line without anyone noticing until the return is prepared.</w:t>
      </w:r>
    </w:p>
    <w:p>
      <w:pPr>
        <w:pStyle w:val="Heading2"/>
        <w:spacing w:after="80" w:before="200"/>
      </w:pPr>
      <w:r>
        <w:rPr>
          <w:rFonts w:ascii="Calibri" w:cs="Calibri" w:eastAsia="Calibri" w:hAnsi="Calibri"/>
          <w:b/>
          <w:bCs/>
          <w:color w:val="2E5496"/>
          <w:sz w:val="24"/>
          <w:szCs w:val="24"/>
        </w:rPr>
        <w:t xml:space="preserve">How Basis Limits Distributions</w:t>
      </w:r>
    </w:p>
    <w:p>
      <w:pPr>
        <w:spacing w:after="140" w:line="276"/>
      </w:pPr>
      <w:r>
        <w:rPr>
          <w:rFonts w:ascii="Calibri" w:cs="Calibri" w:eastAsia="Calibri" w:hAnsi="Calibri"/>
          <w:sz w:val="21"/>
          <w:szCs w:val="21"/>
        </w:rPr>
        <w:t xml:space="preserve">A partner’s outside basis starts with what they contributed to the partnership and is adjusted every year: increased by their share of the partnership’s income (and, importantly, by their share of the partnership’s liabilities, under § 752), and decreased by their share of losses and by any distributions they receive. Under IRC § 731(a)(1), a cash distribution is tax-free to the extent of the partner’s basis immediately before the distribution; any distribution in excess of basis is treated as gain from the sale of the partnership interest — usually capital gain, but taxable nonetheless.</w:t>
      </w:r>
    </w:p>
    <w:p>
      <w:pPr>
        <w:spacing w:after="140" w:line="276"/>
      </w:pPr>
      <w:r>
        <w:rPr>
          <w:rFonts w:ascii="Calibri" w:cs="Calibri" w:eastAsia="Calibri" w:hAnsi="Calibri"/>
          <w:sz w:val="21"/>
          <w:szCs w:val="21"/>
        </w:rPr>
        <w:t xml:space="preserve">Because basis is a cumulative, multi-year figure that most partners never see calculated (partnerships are not required to report it on the K-1 the way they report distributive share of income), it is entirely possible for a partner to take distributions for years without knowing whether they have crossed into excess-distribution territory, especially if the business has had a loss year or two that reduced basis without the partner’s realizing it.</w:t>
      </w:r>
    </w:p>
    <w:p>
      <w:pPr>
        <w:pStyle w:val="ListParagraph"/>
        <w:numPr>
          <w:ilvl w:val="0"/>
          <w:numId w:val="2"/>
        </w:numPr>
        <w:spacing w:after="60" w:line="276"/>
      </w:pPr>
      <w:r>
        <w:rPr>
          <w:rFonts w:ascii="Calibri" w:cs="Calibri" w:eastAsia="Calibri" w:hAnsi="Calibri"/>
          <w:sz w:val="21"/>
          <w:szCs w:val="21"/>
        </w:rPr>
        <w:t xml:space="preserve">Maintain a running basis schedule for each partner, updated every year with contributions, allocated income and loss, changes in the partner’s share of partnership liabilities, and distributions — this is inexpensive to maintain annually and expensive to reconstruct years later from scratch.</w:t>
      </w:r>
    </w:p>
    <w:p>
      <w:pPr>
        <w:pStyle w:val="ListParagraph"/>
        <w:numPr>
          <w:ilvl w:val="0"/>
          <w:numId w:val="2"/>
        </w:numPr>
        <w:spacing w:after="60" w:line="276"/>
      </w:pPr>
      <w:r>
        <w:rPr>
          <w:rFonts w:ascii="Calibri" w:cs="Calibri" w:eastAsia="Calibri" w:hAnsi="Calibri"/>
          <w:sz w:val="21"/>
          <w:szCs w:val="21"/>
        </w:rPr>
        <w:t xml:space="preserve">Before taking a large or unusual distribution, check it against the partner’s current basis, not just against the business’s available cash — the business can have plenty of cash while a specific partner has little basis, particularly after a period of losses or debt paydown that reduced the partner’s share of liabilities.</w:t>
      </w:r>
    </w:p>
    <w:p>
      <w:pPr>
        <w:pStyle w:val="ListParagraph"/>
        <w:numPr>
          <w:ilvl w:val="0"/>
          <w:numId w:val="2"/>
        </w:numPr>
        <w:spacing w:after="60" w:line="276"/>
      </w:pPr>
      <w:r>
        <w:rPr>
          <w:rFonts w:ascii="Calibri" w:cs="Calibri" w:eastAsia="Calibri" w:hAnsi="Calibri"/>
          <w:sz w:val="21"/>
          <w:szCs w:val="21"/>
        </w:rPr>
        <w:t xml:space="preserve">If a distribution has already exceeded basis in a prior year, the resulting gain needs to be reported (typically on Schedule D) — this is easy to miss because the partnership itself does not automatically flag it.</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two-member LLC has been profitable and its members have taken steady cash distributions for several years. One member’s outside basis, after accounting for a loss year and a paydown of the LLC’s debt (which reduced her share of partnership liabilities under § 752), is $20,000 lower than she assumed. A basis review shows her distributions for the year exceeded her actual basis by about $7,000 — that excess is taxable capital gain that needs to be reported, caught only because the basis schedule was checked before, rather than after, the return was filed.</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17. Timing the S-Corporation Election to Its Breakeven Point</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  ·  Schedule C / Sole Proprietor</w:t>
      </w:r>
    </w:p>
    <w:p>
      <w:pPr>
        <w:spacing w:after="140" w:line="276"/>
      </w:pPr>
      <w:r>
        <w:rPr>
          <w:rFonts w:ascii="Calibri" w:cs="Calibri" w:eastAsia="Calibri" w:hAnsi="Calibri"/>
          <w:sz w:val="21"/>
          <w:szCs w:val="21"/>
        </w:rPr>
        <w:t xml:space="preserve">Electing S-corporation status is not automatically beneficial the moment a business becomes profitable — it carries its own costs (payroll administration, a reasonable-compensation requirement, additional tax filings), and for a business with modest profit, those costs can exceed the self-employment tax the election is meant to save. Knowing when the crossover point actually arrives — rather than electing S status reflexively as soon as it is legally available — is itself a planning decision.</w:t>
      </w:r>
    </w:p>
    <w:p>
      <w:pPr>
        <w:pStyle w:val="Heading2"/>
        <w:spacing w:after="80" w:before="200"/>
      </w:pPr>
      <w:r>
        <w:rPr>
          <w:rFonts w:ascii="Calibri" w:cs="Calibri" w:eastAsia="Calibri" w:hAnsi="Calibri"/>
          <w:b/>
          <w:bCs/>
          <w:color w:val="2E5496"/>
          <w:sz w:val="24"/>
          <w:szCs w:val="24"/>
        </w:rPr>
        <w:t xml:space="preserve">Where the Breakeven Point Comes From</w:t>
      </w:r>
    </w:p>
    <w:p>
      <w:pPr>
        <w:spacing w:after="140" w:line="276"/>
      </w:pPr>
      <w:r>
        <w:rPr>
          <w:rFonts w:ascii="Calibri" w:cs="Calibri" w:eastAsia="Calibri" w:hAnsi="Calibri"/>
          <w:sz w:val="21"/>
          <w:szCs w:val="21"/>
        </w:rPr>
        <w:t xml:space="preserve">A sole proprietor or a partner in a partnership generally pays self-employment tax (15.3% combined, subject to a wage-base limit on the Social Security portion) on their full share of business profit. An S corporation, by contrast, only imposes payroll tax on the reasonable-compensation salary paid to the owner-employee — the remaining profit passes through as a distribution free of self-employment/payroll tax (see the reasonable-compensation strategy above for how that salary is set).</w:t>
      </w:r>
    </w:p>
    <w:p>
      <w:pPr>
        <w:spacing w:after="140" w:line="276"/>
      </w:pPr>
      <w:r>
        <w:rPr>
          <w:rFonts w:ascii="Calibri" w:cs="Calibri" w:eastAsia="Calibri" w:hAnsi="Calibri"/>
          <w:sz w:val="21"/>
          <w:szCs w:val="21"/>
        </w:rPr>
        <w:t xml:space="preserve">The catch is that S-corp status adds real costs of its own: running an actual payroll system (with its own preparation and compliance cost), filing a separate corporate return, and the risk and expense of a reasonable-compensation dispute if the salary is set too low. For a business with a modest amount of profit, the entire profit may need to be paid out as reasonable salary anyway (since a defensible reasonable-comp figure for the owner’s role may consume most or all of the available profit), leaving little or nothing to distribute free of payroll tax — in which case the S-election has added administrative cost without producing tax savings.</w:t>
      </w:r>
    </w:p>
    <w:p>
      <w:pPr>
        <w:spacing w:after="140" w:line="276"/>
      </w:pPr>
      <w:r>
        <w:rPr>
          <w:rFonts w:ascii="Calibri" w:cs="Calibri" w:eastAsia="Calibri" w:hAnsi="Calibri"/>
          <w:sz w:val="21"/>
          <w:szCs w:val="21"/>
        </w:rPr>
        <w:t xml:space="preserve">The election starts to pay for itself once the owner’s share of profit comfortably exceeds a defensible reasonable-compensation figure for their role, so that a meaningful amount can be distributed as savings-generating, payroll-tax-free profit on top of that salary. Below that crossover point, remaining a sole proprietorship or partnership (or simply not electing S status yet) is often the more efficient choice once the added administrative cost is netted against the marginal tax savings.</w:t>
      </w:r>
    </w:p>
    <w:p>
      <w:pPr>
        <w:pStyle w:val="ListParagraph"/>
        <w:numPr>
          <w:ilvl w:val="0"/>
          <w:numId w:val="2"/>
        </w:numPr>
        <w:spacing w:after="60" w:line="276"/>
      </w:pPr>
      <w:r>
        <w:rPr>
          <w:rFonts w:ascii="Calibri" w:cs="Calibri" w:eastAsia="Calibri" w:hAnsi="Calibri"/>
          <w:sz w:val="21"/>
          <w:szCs w:val="21"/>
        </w:rPr>
        <w:t xml:space="preserve">A very rough industry rule of thumb is that the election starts to net-save money somewhere in the range of $60,000–$100,000 of owner profit above a reasonable salary for the role — but this varies significantly by industry, region, and the specific reasonable-comp figure that role would command, so it should be modeled on the actual numbers, not assumed from a rule of thumb.</w:t>
      </w:r>
    </w:p>
    <w:p>
      <w:pPr>
        <w:pStyle w:val="ListParagraph"/>
        <w:numPr>
          <w:ilvl w:val="0"/>
          <w:numId w:val="2"/>
        </w:numPr>
        <w:spacing w:after="60" w:line="276"/>
      </w:pPr>
      <w:r>
        <w:rPr>
          <w:rFonts w:ascii="Calibri" w:cs="Calibri" w:eastAsia="Calibri" w:hAnsi="Calibri"/>
          <w:sz w:val="21"/>
          <w:szCs w:val="21"/>
        </w:rPr>
        <w:t xml:space="preserve">A late S-election can often still be made retroactively for the current year under Rev. Proc. 2013-30’s relief procedures, if the business otherwise qualified and simply missed the original filing deadline — so discovering mid-year that the crossover point has been reached does not necessarily mean waiting until the following year.</w:t>
      </w:r>
    </w:p>
    <w:p>
      <w:pPr>
        <w:pStyle w:val="ListParagraph"/>
        <w:numPr>
          <w:ilvl w:val="0"/>
          <w:numId w:val="2"/>
        </w:numPr>
        <w:spacing w:after="60" w:line="276"/>
      </w:pPr>
      <w:r>
        <w:rPr>
          <w:rFonts w:ascii="Calibri" w:cs="Calibri" w:eastAsia="Calibri" w:hAnsi="Calibri"/>
          <w:sz w:val="21"/>
          <w:szCs w:val="21"/>
        </w:rPr>
        <w:t xml:space="preserve">Revisit the analysis periodically as profit grows rather than treating the initial decision as permanent — a business that did not clear the breakeven point last year may clear it easily this year.</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single-owner consulting business generates $70,000 of annual profit in its early years. A reasonable salary for the owner’s role and hours would be roughly $65,000–$70,000 — meaning nearly the entire profit would have to be paid as W-2 salary anyway, leaving little to distribute tax-free. The owner reasonably delays an S-election. Three years later, profit has grown to $180,000 while a reasonable salary for the same role is still roughly $75,000 — now over $100,000 can be distributed free of self-employment tax, and the S-election is made effective the following January 1st.</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18. The § 83(b) Election on Restricted or Founder Equity</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C-Corporation</w:t>
      </w:r>
    </w:p>
    <w:p>
      <w:pPr>
        <w:spacing w:after="140" w:line="276"/>
      </w:pPr>
      <w:r>
        <w:rPr>
          <w:rFonts w:ascii="Calibri" w:cs="Calibri" w:eastAsia="Calibri" w:hAnsi="Calibri"/>
          <w:sz w:val="21"/>
          <w:szCs w:val="21"/>
        </w:rPr>
        <w:t xml:space="preserve">When a founder or early employee receives equity that is subject to vesting (they forfeit it if they leave before a certain date), the tax code normally taxes that equity as ordinary income only as it vests, based on its value at each vesting date. A § 83(b) election flips that: it taxes the full value up front, at grant, which is enormously advantageous when that value is low or zero — because all of the future appreciation is then taxed later as capital gain instead of ordinary income.</w:t>
      </w:r>
    </w:p>
    <w:p>
      <w:pPr>
        <w:pStyle w:val="Heading2"/>
        <w:spacing w:after="80" w:before="200"/>
      </w:pPr>
      <w:r>
        <w:rPr>
          <w:rFonts w:ascii="Calibri" w:cs="Calibri" w:eastAsia="Calibri" w:hAnsi="Calibri"/>
          <w:b/>
          <w:bCs/>
          <w:color w:val="2E5496"/>
          <w:sz w:val="24"/>
          <w:szCs w:val="24"/>
        </w:rPr>
        <w:t xml:space="preserve">Why Filing Early Can Be Extremely Valuable</w:t>
      </w:r>
    </w:p>
    <w:p>
      <w:pPr>
        <w:spacing w:after="140" w:line="276"/>
      </w:pPr>
      <w:r>
        <w:rPr>
          <w:rFonts w:ascii="Calibri" w:cs="Calibri" w:eastAsia="Calibri" w:hAnsi="Calibri"/>
          <w:sz w:val="21"/>
          <w:szCs w:val="21"/>
        </w:rPr>
        <w:t xml:space="preserve">Restricted property received for services is normally taxed under IRC § 83(a) as it vests — at each vesting date, the recipient recognizes ordinary income equal to the property’s value at that time, even though they received the underlying property earlier. For a founder receiving equity when the company is brand new and worth very little, this is a problem: as the company grows in value over the vesting period, each vesting tranche is taxed on a progressively higher value, all as ordinary income.</w:t>
      </w:r>
    </w:p>
    <w:p>
      <w:pPr>
        <w:spacing w:after="140" w:line="276"/>
      </w:pPr>
      <w:r>
        <w:rPr>
          <w:rFonts w:ascii="Calibri" w:cs="Calibri" w:eastAsia="Calibri" w:hAnsi="Calibri"/>
          <w:sz w:val="21"/>
          <w:szCs w:val="21"/>
        </w:rPr>
        <w:t xml:space="preserve">A § 83(b) election lets the recipient instead recognize ordinary income immediately at grant, based on the property’s value at that moment — which, for a brand-new company, is often zero or close to it, producing little or no immediate tax. Once the election is made, all future appreciation between grant and an eventual sale is capital gain (and, if held long enough, long-term capital gain), rather than ordinary income recognized piecemeal as each tranche vests.</w:t>
      </w:r>
    </w:p>
    <w:p>
      <w:pPr>
        <w:spacing w:after="140" w:line="276"/>
      </w:pPr>
      <w:r>
        <w:rPr>
          <w:rFonts w:ascii="Calibri" w:cs="Calibri" w:eastAsia="Calibri" w:hAnsi="Calibri"/>
          <w:sz w:val="21"/>
          <w:szCs w:val="21"/>
        </w:rPr>
        <w:t xml:space="preserve">The election must be filed with the IRS within 30 days of the grant date — a strict, non-extendable deadline. Missing it forfeits the opportunity permanently; there is no way to make the election late. Because of this, anyone receiving restricted founder or early-employee equity should decide whether to file before the equity is even accepted, not after.</w:t>
      </w:r>
    </w:p>
    <w:p>
      <w:pPr>
        <w:pStyle w:val="ListParagraph"/>
        <w:numPr>
          <w:ilvl w:val="0"/>
          <w:numId w:val="2"/>
        </w:numPr>
        <w:spacing w:after="60" w:line="276"/>
      </w:pPr>
      <w:r>
        <w:rPr>
          <w:rFonts w:ascii="Calibri" w:cs="Calibri" w:eastAsia="Calibri" w:hAnsi="Calibri"/>
          <w:sz w:val="21"/>
          <w:szCs w:val="21"/>
        </w:rPr>
        <w:t xml:space="preserve">File within 30 days of the grant date, by mail to the IRS service center where the recipient’s return is filed, with a copy retained (and historically, a copy attached to that year’s return, though process details should be confirmed against current IRS procedure) — and keep proof of timely mailing, since there is no cure for a late filing.</w:t>
      </w:r>
    </w:p>
    <w:p>
      <w:pPr>
        <w:pStyle w:val="ListParagraph"/>
        <w:numPr>
          <w:ilvl w:val="0"/>
          <w:numId w:val="2"/>
        </w:numPr>
        <w:spacing w:after="60" w:line="276"/>
      </w:pPr>
      <w:r>
        <w:rPr>
          <w:rFonts w:ascii="Calibri" w:cs="Calibri" w:eastAsia="Calibri" w:hAnsi="Calibri"/>
          <w:sz w:val="21"/>
          <w:szCs w:val="21"/>
        </w:rPr>
        <w:t xml:space="preserve">The risk is real forfeiture: if the equity is later forfeited before it vests (e.g., the founder leaves early), any tax paid on the § 83(b) election is generally not refunded — so the election is most attractive when grant-date value is low and the recipient is reasonably confident they will stay through vesting.</w:t>
      </w:r>
    </w:p>
    <w:p>
      <w:pPr>
        <w:pStyle w:val="ListParagraph"/>
        <w:numPr>
          <w:ilvl w:val="0"/>
          <w:numId w:val="2"/>
        </w:numPr>
        <w:spacing w:after="60" w:line="276"/>
      </w:pPr>
      <w:r>
        <w:rPr>
          <w:rFonts w:ascii="Calibri" w:cs="Calibri" w:eastAsia="Calibri" w:hAnsi="Calibri"/>
          <w:sz w:val="21"/>
          <w:szCs w:val="21"/>
        </w:rPr>
        <w:t xml:space="preserve">This election is irrelevant for equity that is not subject to a vesting/forfeiture restriction in the first place — it only matters for restricted stock or similar arrangements where § 83(a)’s default timing rule would otherwise apply.</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co-founder receives restricted shares in a brand-new company on day one, valued at essentially $0, vesting over four years. She files a § 83(b) election within the 30-day window, recognizing $0 of ordinary income at grant. Four years later the company has grown substantially and she sells her now-vested shares; because of the election, the entire gain from $0 to the sale price is long-term capital gain, rather than a series of ordinary-income events recognized at each vesting date at a progressively higher value.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19. The Qualified Small Business Stock (QSBS) Exclusion Under § 1202</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C-Corporation</w:t>
      </w:r>
    </w:p>
    <w:p>
      <w:pPr>
        <w:spacing w:after="140" w:line="276"/>
      </w:pPr>
      <w:r>
        <w:rPr>
          <w:rFonts w:ascii="Calibri" w:cs="Calibri" w:eastAsia="Calibri" w:hAnsi="Calibri"/>
          <w:sz w:val="21"/>
          <w:szCs w:val="21"/>
        </w:rPr>
        <w:t xml:space="preserve">IRC § 1202 allows the original holder of stock in a qualifying small C-corporation to exclude a large portion — potentially all — of the gain on an eventual sale from federal income tax, provided the stock is held more than five years and the underlying company meets a series of qualification requirements at the time of issuance. For a founder or early investor in a qualifying company, this can be one of the single largest tax benefits available in the entire tax code.</w:t>
      </w:r>
    </w:p>
    <w:p>
      <w:pPr>
        <w:pStyle w:val="Heading2"/>
        <w:spacing w:after="80" w:before="200"/>
      </w:pPr>
      <w:r>
        <w:rPr>
          <w:rFonts w:ascii="Calibri" w:cs="Calibri" w:eastAsia="Calibri" w:hAnsi="Calibri"/>
          <w:b/>
          <w:bCs/>
          <w:color w:val="2E5496"/>
          <w:sz w:val="24"/>
          <w:szCs w:val="24"/>
        </w:rPr>
        <w:t xml:space="preserve">How the Exclusion Works and What Qualifies</w:t>
      </w:r>
    </w:p>
    <w:p>
      <w:pPr>
        <w:spacing w:after="140" w:line="276"/>
      </w:pPr>
      <w:r>
        <w:rPr>
          <w:rFonts w:ascii="Calibri" w:cs="Calibri" w:eastAsia="Calibri" w:hAnsi="Calibri"/>
          <w:sz w:val="21"/>
          <w:szCs w:val="21"/>
        </w:rPr>
        <w:t xml:space="preserve">To qualify as QSBS, the stock must be originally issued (not purchased from another shareholder) directly by a domestic C-corporation, acquired at original issuance in exchange for money, property, or services, and the corporation’s gross assets must not have exceeded $50 million at the time of issuance (this threshold and the exact exclusion percentages have been adjusted by recent legislation and should be confirmed against current law for the specific issuance date). The company must also be an active operating business in a qualifying industry — certain service-based fields (health, law, accounting, financial services, among others) are specifically excluded from qualifying.</w:t>
      </w:r>
    </w:p>
    <w:p>
      <w:pPr>
        <w:spacing w:after="140" w:line="276"/>
      </w:pPr>
      <w:r>
        <w:rPr>
          <w:rFonts w:ascii="Calibri" w:cs="Calibri" w:eastAsia="Calibri" w:hAnsi="Calibri"/>
          <w:sz w:val="21"/>
          <w:szCs w:val="21"/>
        </w:rPr>
        <w:t xml:space="preserve">If the stock qualifies and is held for more than five years, a portion of the gain on sale — potentially up to 100% for stock acquired after the relevant post-2010 effective dates, subject to a cap that is the greater of $10 million or 10 times the taxpayer’s basis in the stock — is excluded from federal income tax entirely. This is dramatically more favorable than ordinary long-term capital gains treatment, which only reduces the tax rate rather than excluding the gain outright.</w:t>
      </w:r>
    </w:p>
    <w:p>
      <w:pPr>
        <w:spacing w:after="140" w:line="276"/>
      </w:pPr>
      <w:r>
        <w:rPr>
          <w:rFonts w:ascii="Calibri" w:cs="Calibri" w:eastAsia="Calibri" w:hAnsi="Calibri"/>
          <w:sz w:val="21"/>
          <w:szCs w:val="21"/>
        </w:rPr>
        <w:t xml:space="preserve">Because eligibility depends on facts fixed at issuance (the corporation’s status, gross assets, and business activity at that specific time), qualification should be assessed and documented as early as possible — ideally at the time the stock is issued — rather than reconstructed years later at the time of sale, when the necessary records may be harder to obtain.</w:t>
      </w:r>
    </w:p>
    <w:p>
      <w:pPr>
        <w:pStyle w:val="ListParagraph"/>
        <w:numPr>
          <w:ilvl w:val="0"/>
          <w:numId w:val="2"/>
        </w:numPr>
        <w:spacing w:after="60" w:line="276"/>
      </w:pPr>
      <w:r>
        <w:rPr>
          <w:rFonts w:ascii="Calibri" w:cs="Calibri" w:eastAsia="Calibri" w:hAnsi="Calibri"/>
          <w:sz w:val="21"/>
          <w:szCs w:val="21"/>
        </w:rPr>
        <w:t xml:space="preserve">The five-year holding period is a hard requirement — there is no partial exclusion for a shorter holding period, though a like-kind rollover under § 1045 can preserve the holding-period clock if qualifying stock is sold and reinvested in other QSBS within 60 days.</w:t>
      </w:r>
    </w:p>
    <w:p>
      <w:pPr>
        <w:pStyle w:val="ListParagraph"/>
        <w:numPr>
          <w:ilvl w:val="0"/>
          <w:numId w:val="2"/>
        </w:numPr>
        <w:spacing w:after="60" w:line="276"/>
      </w:pPr>
      <w:r>
        <w:rPr>
          <w:rFonts w:ascii="Calibri" w:cs="Calibri" w:eastAsia="Calibri" w:hAnsi="Calibri"/>
          <w:sz w:val="21"/>
          <w:szCs w:val="21"/>
        </w:rPr>
        <w:t xml:space="preserve">The issuing company must be a C-corporation at issuance — stock in an S-corporation, partnership, or LLC does not qualify, which is relevant when deciding an entity’s tax classification for a business that might eventually be sold.</w:t>
      </w:r>
    </w:p>
    <w:p>
      <w:pPr>
        <w:pStyle w:val="ListParagraph"/>
        <w:numPr>
          <w:ilvl w:val="0"/>
          <w:numId w:val="2"/>
        </w:numPr>
        <w:spacing w:after="60" w:line="276"/>
      </w:pPr>
      <w:r>
        <w:rPr>
          <w:rFonts w:ascii="Calibri" w:cs="Calibri" w:eastAsia="Calibri" w:hAnsi="Calibri"/>
          <w:sz w:val="21"/>
          <w:szCs w:val="21"/>
        </w:rPr>
        <w:t xml:space="preserve">Confirm the specific qualification requirements and exclusion percentage in effect for the exact issuance date before relying on the benefit — the rules have changed over time and continue to evolve, and the percentage excluded can depend on precisely when the stock was acquired.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engineer joins a newly formed software company as an early employee and receives 100,000 shares of founder-level stock directly from the corporation at a nominal $0.01 par value ($1,000 total), when the company's gross assets are well under the qualifying threshold. She holds the stock for six years while the company grows, and it is eventually acquired, with her shares worth $12,000,000 at sale. Her gain is $11,999,000 ($12,000,000 minus her $1,000 basis). Because the stock qualifies as QSBS and was held beyond the five-year threshold, her exclusion cap is the greater of $10,000,000 or 10 times her basis (10 × $1,000 = $10,000) — so $10,000,000 of her gain is excluded from federal income tax entirely, and only the remaining $1,999,000 is taxed as ordinary long-term capital gain. Had she instead sold identical stock in an S-corporation (which cannot issue QSBS at all) or held it for only four years, none of the $11,999,000 gain would have qualified for any exclusion — the entire amount would have been taxed at ordinary capital-gains rates, a difference worth well over $2,000,000 in federal tax at typical capital-gains rates on the excluded portion.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20. Donating Appreciated Securities Through a Donor-Advised Fund</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Charitable &amp; Estate  ·  Individual / Investment</w:t>
      </w:r>
    </w:p>
    <w:p>
      <w:pPr>
        <w:spacing w:after="140" w:line="276"/>
      </w:pPr>
      <w:r>
        <w:rPr>
          <w:rFonts w:ascii="Calibri" w:cs="Calibri" w:eastAsia="Calibri" w:hAnsi="Calibri"/>
          <w:sz w:val="21"/>
          <w:szCs w:val="21"/>
        </w:rPr>
        <w:t xml:space="preserve">Someone who wants to give to charity and is holding investments with a large unrealized gain can do meaningfully better, tax-wise, than selling the investment and donating the cash proceeds. Donating the appreciated security itself — often through a donor-advised fund, which lets the donor take the deduction now and decide which specific charities receive the money later — captures two tax benefits at once instead of one.</w:t>
      </w:r>
    </w:p>
    <w:p>
      <w:pPr>
        <w:pStyle w:val="Heading2"/>
        <w:spacing w:after="80" w:before="200"/>
      </w:pPr>
      <w:r>
        <w:rPr>
          <w:rFonts w:ascii="Calibri" w:cs="Calibri" w:eastAsia="Calibri" w:hAnsi="Calibri"/>
          <w:b/>
          <w:bCs/>
          <w:color w:val="2E5496"/>
          <w:sz w:val="24"/>
          <w:szCs w:val="24"/>
        </w:rPr>
        <w:t xml:space="preserve">Why Donating the Asset Beats Donating Cash</w:t>
      </w:r>
    </w:p>
    <w:p>
      <w:pPr>
        <w:spacing w:after="140" w:line="276"/>
      </w:pPr>
      <w:r>
        <w:rPr>
          <w:rFonts w:ascii="Calibri" w:cs="Calibri" w:eastAsia="Calibri" w:hAnsi="Calibri"/>
          <w:sz w:val="21"/>
          <w:szCs w:val="21"/>
        </w:rPr>
        <w:t xml:space="preserve">If an investor sells an appreciated security to raise cash for a charitable gift, they first pay capital gains tax on the sale, and only the after-tax proceeds are available to donate. If instead they donate the security itself — transferring the shares directly to a qualified charity or to a donor-advised fund — two things happen: the donor gets an income-tax deduction for the full fair market value of the security (not just what they originally paid for it), and neither the donor nor the charity ever pays capital gains tax on the appreciation, since the shares are given away rather than sold by the donor.</w:t>
      </w:r>
    </w:p>
    <w:p>
      <w:pPr>
        <w:spacing w:after="140" w:line="276"/>
      </w:pPr>
      <w:r>
        <w:rPr>
          <w:rFonts w:ascii="Calibri" w:cs="Calibri" w:eastAsia="Calibri" w:hAnsi="Calibri"/>
          <w:sz w:val="21"/>
          <w:szCs w:val="21"/>
        </w:rPr>
        <w:t xml:space="preserve">A donor-advised fund (DAF) adds flexibility to this: the donor contributes appreciated securities (or cash) to the fund, taking the full deduction in the year of contribution, but can then recommend grants out of the fund to specific charities over any time period afterward — including years later. This is useful for someone who wants to "bunch" several years’ worth of charitable giving into one high-income year for the deduction, without having to decide immediately which charities will ultimately receive the money.</w:t>
      </w:r>
    </w:p>
    <w:p>
      <w:pPr>
        <w:spacing w:after="140" w:line="276"/>
      </w:pPr>
      <w:r>
        <w:rPr>
          <w:rFonts w:ascii="Calibri" w:cs="Calibri" w:eastAsia="Calibri" w:hAnsi="Calibri"/>
          <w:sz w:val="21"/>
          <w:szCs w:val="21"/>
        </w:rPr>
        <w:t xml:space="preserve">The deduction for donated long-term appreciated securities to a public charity (which most DAF sponsors are) is generally limited to 30% of the donor’s adjusted gross income in the year of the gift, with any excess carrying forward for up to five additional years — so a very large gift relative to income may not be fully deductible in the first year, but nothing is lost, only deferred.</w:t>
      </w:r>
    </w:p>
    <w:p>
      <w:pPr>
        <w:pStyle w:val="ListParagraph"/>
        <w:numPr>
          <w:ilvl w:val="0"/>
          <w:numId w:val="2"/>
        </w:numPr>
        <w:spacing w:after="60" w:line="276"/>
      </w:pPr>
      <w:r>
        <w:rPr>
          <w:rFonts w:ascii="Calibri" w:cs="Calibri" w:eastAsia="Calibri" w:hAnsi="Calibri"/>
          <w:sz w:val="21"/>
          <w:szCs w:val="21"/>
        </w:rPr>
        <w:t xml:space="preserve">Choose long-term holdings (held more than one year) with the largest embedded gain relative to their current value — these produce the most favorable ratio of deduction to actual cost, since the built-in gain that is fully deducted was never taxed.</w:t>
      </w:r>
    </w:p>
    <w:p>
      <w:pPr>
        <w:pStyle w:val="ListParagraph"/>
        <w:numPr>
          <w:ilvl w:val="0"/>
          <w:numId w:val="2"/>
        </w:numPr>
        <w:spacing w:after="60" w:line="276"/>
      </w:pPr>
      <w:r>
        <w:rPr>
          <w:rFonts w:ascii="Calibri" w:cs="Calibri" w:eastAsia="Calibri" w:hAnsi="Calibri"/>
          <w:sz w:val="21"/>
          <w:szCs w:val="21"/>
        </w:rPr>
        <w:t xml:space="preserve">A contribution of securities worth more than $500 generally requires Form 8283 with the return, and a qualified appraisal may be required above certain thresholds for non-publicly-traded securities — publicly traded stock generally does not require a separate appraisal.</w:t>
      </w:r>
    </w:p>
    <w:p>
      <w:pPr>
        <w:pStyle w:val="ListParagraph"/>
        <w:numPr>
          <w:ilvl w:val="0"/>
          <w:numId w:val="2"/>
        </w:numPr>
        <w:spacing w:after="60" w:line="276"/>
      </w:pPr>
      <w:r>
        <w:rPr>
          <w:rFonts w:ascii="Calibri" w:cs="Calibri" w:eastAsia="Calibri" w:hAnsi="Calibri"/>
          <w:sz w:val="21"/>
          <w:szCs w:val="21"/>
        </w:rPr>
        <w:t xml:space="preserve">Bunching multiple years of intended giving into a single DAF contribution in an unusually high-income year captures the deduction when it is worth the most (against the highest marginal tax rate), while still allowing the actual grants to charities to be spread out over subsequent years.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investor holds stock purchased years ago for $10,000 that is now worth $60,000. Instead of selling the stock (which would trigger tax on the $50,000 gain) and donating the after-tax cash, she contributes the stock directly to a donor-advised fund. She deducts the full $60,000 fair market value as a charitable contribution in the current year, and neither she nor the DAF ever pays capital gains tax on the $50,000 of appreciation. She then recommends grants to specific charities from the fund over the following several years, at her own pace.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21. The Backdoor Roth IRA for High-Income Earners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Retirement Planning  ·  Individual / Investment</w:t>
      </w:r>
    </w:p>
    <w:p>
      <w:pPr>
        <w:spacing w:after="140" w:line="276"/>
      </w:pPr>
      <w:r>
        <w:rPr>
          <w:rFonts w:ascii="Calibri" w:cs="Calibri" w:eastAsia="Calibri" w:hAnsi="Calibri"/>
          <w:sz w:val="21"/>
          <w:szCs w:val="21"/>
        </w:rPr>
        <w:t xml:space="preserve">Direct Roth IRA contributions are phased out and eventually eliminated entirely once income exceeds statutory thresholds — meaning many higher earners cannot contribute to a Roth IRA directly at all. A well-established, IRS-acknowledged workaround, commonly called the "backdoor Roth," lets high earners get money into a Roth IRA anyway, through a two-step contribution and conversion.</w:t>
      </w:r>
    </w:p>
    <w:p>
      <w:pPr>
        <w:pStyle w:val="Heading2"/>
        <w:spacing w:after="80" w:before="200"/>
      </w:pPr>
      <w:r>
        <w:rPr>
          <w:rFonts w:ascii="Calibri" w:cs="Calibri" w:eastAsia="Calibri" w:hAnsi="Calibri"/>
          <w:b/>
          <w:bCs/>
          <w:color w:val="2E5496"/>
          <w:sz w:val="24"/>
          <w:szCs w:val="24"/>
        </w:rPr>
        <w:t xml:space="preserve">How the Two-Step Process Works</w:t>
      </w:r>
    </w:p>
    <w:p>
      <w:pPr>
        <w:spacing w:after="140" w:line="276"/>
      </w:pPr>
      <w:r>
        <w:rPr>
          <w:rFonts w:ascii="Calibri" w:cs="Calibri" w:eastAsia="Calibri" w:hAnsi="Calibri"/>
          <w:sz w:val="21"/>
          <w:szCs w:val="21"/>
        </w:rPr>
        <w:t xml:space="preserve">The mechanism has two steps. First, the individual makes a nondeductible contribution to a traditional IRA — anyone with earned income can do this regardless of their income level, since the income limits only apply to the Roth contribution and to the deductibility of a traditional IRA contribution, not to a nondeductible traditional IRA contribution itself. Second, shortly afterward, the individual converts that traditional IRA balance to a Roth IRA. Because the contribution was already nondeductible (already taxed), the conversion generally triggers little or no additional tax — the money has already been taxed once, and converting it does not tax it again on the same dollars.</w:t>
      </w:r>
    </w:p>
    <w:p>
      <w:pPr>
        <w:spacing w:after="140" w:line="276"/>
      </w:pPr>
      <w:r>
        <w:rPr>
          <w:rFonts w:ascii="Calibri" w:cs="Calibri" w:eastAsia="Calibri" w:hAnsi="Calibri"/>
          <w:sz w:val="21"/>
          <w:szCs w:val="21"/>
        </w:rPr>
        <w:t xml:space="preserve">The entire strategy works cleanly only when the individual has no other pre-tax traditional IRA balances. Under the § 408(d)(2) "pro-rata rule," if someone has other traditional IRA money (including old rollover 401(k) balances sitting in a traditional IRA) that was never taxed, any conversion is treated as coming proportionally from both the taxed and untaxed dollars across all of their traditional IRAs combined — not just from the specific account just contributed to. This can turn what was meant to be a tax-free conversion into a partially taxable one.</w:t>
      </w:r>
    </w:p>
    <w:p>
      <w:pPr>
        <w:pStyle w:val="ListParagraph"/>
        <w:numPr>
          <w:ilvl w:val="0"/>
          <w:numId w:val="2"/>
        </w:numPr>
        <w:spacing w:after="60" w:line="276"/>
      </w:pPr>
      <w:r>
        <w:rPr>
          <w:rFonts w:ascii="Calibri" w:cs="Calibri" w:eastAsia="Calibri" w:hAnsi="Calibri"/>
          <w:sz w:val="21"/>
          <w:szCs w:val="21"/>
        </w:rPr>
        <w:t xml:space="preserve">Before doing a backdoor Roth, check whether any traditional, SEP, or SIMPLE IRA balances exist anywhere — if so, the pro-rata rule will tax part of every conversion, proportional to the pre-tax share of the combined balance, regardless of which specific account the new contribution went into.</w:t>
      </w:r>
    </w:p>
    <w:p>
      <w:pPr>
        <w:pStyle w:val="ListParagraph"/>
        <w:numPr>
          <w:ilvl w:val="0"/>
          <w:numId w:val="2"/>
        </w:numPr>
        <w:spacing w:after="60" w:line="276"/>
      </w:pPr>
      <w:r>
        <w:rPr>
          <w:rFonts w:ascii="Calibri" w:cs="Calibri" w:eastAsia="Calibri" w:hAnsi="Calibri"/>
          <w:sz w:val="21"/>
          <w:szCs w:val="21"/>
        </w:rPr>
        <w:t xml:space="preserve">One common fix for an existing pre-tax IRA balance is to roll it into an employer’s 401(k) plan first (if the plan accepts incoming rollovers), which removes it from the pro-rata calculation since employer plan balances are not counted — clearing the way for a clean backdoor Roth going forward.</w:t>
      </w:r>
    </w:p>
    <w:p>
      <w:pPr>
        <w:pStyle w:val="ListParagraph"/>
        <w:numPr>
          <w:ilvl w:val="0"/>
          <w:numId w:val="2"/>
        </w:numPr>
        <w:spacing w:after="60" w:line="276"/>
      </w:pPr>
      <w:r>
        <w:rPr>
          <w:rFonts w:ascii="Calibri" w:cs="Calibri" w:eastAsia="Calibri" w:hAnsi="Calibri"/>
          <w:sz w:val="21"/>
          <w:szCs w:val="21"/>
        </w:rPr>
        <w:t xml:space="preserve">File Form 8606 with the tax return for the year of the nondeductible contribution (and again in the year of conversion) — this is what documents to the IRS that the contribution was already after-tax, so it is not taxed a second time on conversion or eventual withdrawal.</w:t>
      </w:r>
    </w:p>
    <w:p>
      <w:pPr>
        <w:pStyle w:val="ListParagraph"/>
        <w:numPr>
          <w:ilvl w:val="0"/>
          <w:numId w:val="2"/>
        </w:numPr>
        <w:spacing w:after="60" w:line="276"/>
      </w:pPr>
      <w:r>
        <w:rPr>
          <w:rFonts w:ascii="Calibri" w:cs="Calibri" w:eastAsia="Calibri" w:hAnsi="Calibri"/>
          <w:sz w:val="21"/>
          <w:szCs w:val="21"/>
        </w:rPr>
        <w:t xml:space="preserve">Converting soon after contributing (rather than letting the money sit and grow in the traditional IRA first) minimizes any taxable gain between contribution and conversion, since only growth that occurred before conversion is taxable.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married couple earns well above the income threshold where direct Roth IRA contributions are phased out to zero, so neither can contribute to a Roth IRA directly. Neither has any existing traditional, SEP, or SIMPLE IRA balance. Each contributes the $7,000 annual maximum as a nondeductible contribution to a new traditional IRA — $14,000 combined — then, three weeks later, converts the full balance to a Roth IRA once a few dollars of interest have accrued. Because there are no other pre-tax IRA dollars anywhere for either spouse, the pro-rata rule has nothing to prorate against: the conversion is taxable only on the roughly $20 of interim interest earned, not on the $14,000 of principal, which was already after-tax money. Both spouses file Form 8606 for the contribution year documenting the $7,000 as nondeductible basis, and again for the conversion year. Contrast this with a similar couple where one spouse has a $200,000 rollover 401(k) sitting in a traditional IRA: contributing $7,000 nondeductible and converting it would be treated as roughly 97% pre-tax and 3% after-tax across the combined $207,000 balance — making about $6,780 of the $7,000 conversion taxable, not tax-free as intended, unless that $200,000 balance is first rolled into an employer 401(k) plan to remove it from the pro-rata calculation.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22. The Mega-Backdoor Roth 401(k) Strategy</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Retirement Planning</w:t>
      </w:r>
    </w:p>
    <w:p>
      <w:pPr>
        <w:spacing w:after="140" w:line="276"/>
      </w:pPr>
      <w:r>
        <w:rPr>
          <w:rFonts w:ascii="Calibri" w:cs="Calibri" w:eastAsia="Calibri" w:hAnsi="Calibri"/>
          <w:sz w:val="21"/>
          <w:szCs w:val="21"/>
        </w:rPr>
        <w:t xml:space="preserve">A regular 401(k) lets an employee defer a limited amount of their own salary each year, pre-tax or as a designated Roth contribution. But the overall limit on total contributions to a 401(k) plan — from the employee and the employer combined — is substantially higher than the employee’s own deferral limit. For a plan that permits it, the gap between those two limits can be filled with additional after-tax contributions and converted to Roth, sheltering far more money than a standard 401(k) allows.</w:t>
      </w:r>
    </w:p>
    <w:p>
      <w:pPr>
        <w:pStyle w:val="Heading2"/>
        <w:spacing w:after="80" w:before="200"/>
      </w:pPr>
      <w:r>
        <w:rPr>
          <w:rFonts w:ascii="Calibri" w:cs="Calibri" w:eastAsia="Calibri" w:hAnsi="Calibri"/>
          <w:b/>
          <w:bCs/>
          <w:color w:val="2E5496"/>
          <w:sz w:val="24"/>
          <w:szCs w:val="24"/>
        </w:rPr>
        <w:t xml:space="preserve">How the Extra Contribution Room Works</w:t>
      </w:r>
    </w:p>
    <w:p>
      <w:pPr>
        <w:spacing w:after="140" w:line="276"/>
      </w:pPr>
      <w:r>
        <w:rPr>
          <w:rFonts w:ascii="Calibri" w:cs="Calibri" w:eastAsia="Calibri" w:hAnsi="Calibri"/>
          <w:sz w:val="21"/>
          <w:szCs w:val="21"/>
        </w:rPr>
        <w:t xml:space="preserve">The employee elective-deferral limit under IRC § 402(g) caps how much of an employee’s own salary can go into a 401(k) as a regular pre-tax or Roth deferral each year. But a separate, much higher limit under § 415(c) caps the total of all contributions to the account — employee deferrals, any employer match or profit-sharing contribution, and (if the plan allows it) additional after-tax employee contributions — combined.</w:t>
      </w:r>
    </w:p>
    <w:p>
      <w:pPr>
        <w:spacing w:after="140" w:line="276"/>
      </w:pPr>
      <w:r>
        <w:rPr>
          <w:rFonts w:ascii="Calibri" w:cs="Calibri" w:eastAsia="Calibri" w:hAnsi="Calibri"/>
          <w:sz w:val="21"/>
          <w:szCs w:val="21"/>
        </w:rPr>
        <w:t xml:space="preserve">If a 401(k) plan specifically permits after-tax contributions beyond the regular deferral limit, an employee can contribute additional dollars, after-tax, up to the overall § 415(c) ceiling (minus whatever the employee already deferred and the employer already contributed). Those after-tax dollars can then be converted — either through an in-plan Roth conversion the plan offers, or through an in-service withdrawal rolled into a Roth IRA — into Roth status, after which all future growth on that money is tax-free, the same as any other Roth account.</w:t>
      </w:r>
    </w:p>
    <w:p>
      <w:pPr>
        <w:spacing w:after="140" w:line="276"/>
      </w:pPr>
      <w:r>
        <w:rPr>
          <w:rFonts w:ascii="Calibri" w:cs="Calibri" w:eastAsia="Calibri" w:hAnsi="Calibri"/>
          <w:sz w:val="21"/>
          <w:szCs w:val="21"/>
        </w:rPr>
        <w:t xml:space="preserve">This is entirely dependent on specific plan features that not every 401(k) offers: the plan must permit after-tax (non-Roth) employee contributions beyond the standard deferral limit, and it must permit either in-plan Roth conversions or in-service distributions of those after-tax dollars. Absent both features, the "mega-backdoor" is not available no matter how much room exists under the § 415(c) limit.</w:t>
      </w:r>
    </w:p>
    <w:p>
      <w:pPr>
        <w:pStyle w:val="ListParagraph"/>
        <w:numPr>
          <w:ilvl w:val="0"/>
          <w:numId w:val="2"/>
        </w:numPr>
        <w:spacing w:after="60" w:line="276"/>
      </w:pPr>
      <w:r>
        <w:rPr>
          <w:rFonts w:ascii="Calibri" w:cs="Calibri" w:eastAsia="Calibri" w:hAnsi="Calibri"/>
          <w:sz w:val="21"/>
          <w:szCs w:val="21"/>
        </w:rPr>
        <w:t xml:space="preserve">Check the specific plan document (not just general knowledge about 401(k) rules) for whether after-tax contributions and in-plan Roth conversion or in-service withdrawals are actually permitted — this varies significantly employer to employer.</w:t>
      </w:r>
    </w:p>
    <w:p>
      <w:pPr>
        <w:pStyle w:val="ListParagraph"/>
        <w:numPr>
          <w:ilvl w:val="0"/>
          <w:numId w:val="2"/>
        </w:numPr>
        <w:spacing w:after="60" w:line="276"/>
      </w:pPr>
      <w:r>
        <w:rPr>
          <w:rFonts w:ascii="Calibri" w:cs="Calibri" w:eastAsia="Calibri" w:hAnsi="Calibri"/>
          <w:sz w:val="21"/>
          <w:szCs w:val="21"/>
        </w:rPr>
        <w:t xml:space="preserve">Convert the after-tax contributions to Roth status promptly after contributing, rather than letting them sit as after-tax dollars, since any growth that accrues before conversion is taxable on conversion (only the original after-tax contribution itself converts tax-free).</w:t>
      </w:r>
    </w:p>
    <w:p>
      <w:pPr>
        <w:pStyle w:val="ListParagraph"/>
        <w:numPr>
          <w:ilvl w:val="0"/>
          <w:numId w:val="2"/>
        </w:numPr>
        <w:spacing w:after="60" w:line="276"/>
      </w:pPr>
      <w:r>
        <w:rPr>
          <w:rFonts w:ascii="Calibri" w:cs="Calibri" w:eastAsia="Calibri" w:hAnsi="Calibri"/>
          <w:sz w:val="21"/>
          <w:szCs w:val="21"/>
        </w:rPr>
        <w:t xml:space="preserve">An outstanding loan against the 401(k) plan can sometimes restrict in-service withdrawals — check the plan’s specific rules if a loan is outstanding before assuming the mega-backdoor Roth mechanics will work as expected.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employee has already contributed the $23,500 maximum regular pre-tax deferral to her 401(k) for the year, and her employer has added a $9,000 matching contribution — $32,500 combined toward the overall § 415(c) annual-additions limit of $70,000. That leaves $37,500 of unused room under the higher combined-contribution ceiling. Her plan specifically permits additional after-tax employee contributions and in-plan Roth conversion, so she contributes the remaining $37,500 as after-tax dollars and converts it to the Roth portion of the same 401(k) within days, before any meaningful growth accrues. The result: she has sheltered $61,000 total in the plan for the year ($23,500 pre-tax deferral plus $37,500 mega-backdoor Roth, plus the $9,000 match) — nearly triple the $23,500 a standard 401(k) deferral alone would have allowed — with the $37,500 mega-backdoor portion now growing completely tax-free for the rest of her working life. Had her plan not permitted in-plan Roth conversion or in-service withdrawal of after-tax contributions, none of this $37,500 of extra room would have been usable this way, regardless of how much space existed under the $70,000 ceiling.</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23. 529 Plan Superfunding: The Five-Year Gift-Tax Election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Charitable &amp; Estate</w:t>
      </w:r>
    </w:p>
    <w:p>
      <w:pPr>
        <w:spacing w:after="140" w:line="276"/>
      </w:pPr>
      <w:r>
        <w:rPr>
          <w:rFonts w:ascii="Calibri" w:cs="Calibri" w:eastAsia="Calibri" w:hAnsi="Calibri"/>
          <w:sz w:val="21"/>
          <w:szCs w:val="21"/>
        </w:rPr>
        <w:t xml:space="preserve">A 529 education savings plan already grows tax-free for qualified education expenses. A special election unique to 529 plans lets a contributor front-load up to five years’ worth of annual gift-tax-exclusion amounts into a single contribution — without using any of their lifetime gift-and-estate-tax exemption — putting a large sum to work growing tax-free for education years earlier than it otherwise could.</w:t>
      </w:r>
    </w:p>
    <w:p>
      <w:pPr>
        <w:pStyle w:val="Heading2"/>
        <w:spacing w:after="80" w:before="200"/>
      </w:pPr>
      <w:r>
        <w:rPr>
          <w:rFonts w:ascii="Calibri" w:cs="Calibri" w:eastAsia="Calibri" w:hAnsi="Calibri"/>
          <w:b/>
          <w:bCs/>
          <w:color w:val="2E5496"/>
          <w:sz w:val="24"/>
          <w:szCs w:val="24"/>
        </w:rPr>
        <w:t xml:space="preserve">How the Five-Year Election Works</w:t>
      </w:r>
    </w:p>
    <w:p>
      <w:pPr>
        <w:spacing w:after="140" w:line="276"/>
      </w:pPr>
      <w:r>
        <w:rPr>
          <w:rFonts w:ascii="Calibri" w:cs="Calibri" w:eastAsia="Calibri" w:hAnsi="Calibri"/>
          <w:sz w:val="21"/>
          <w:szCs w:val="21"/>
        </w:rPr>
        <w:t xml:space="preserve">Ordinarily, a gift to another person is tax-free only up to the annual gift-tax exclusion amount per recipient per year (an amount indexed annually for inflation) — a gift larger than that either uses up part of the giver’s lifetime exemption or is taxable. IRC § 529(c)(2)(B) creates a special exception just for 529 plan contributions: a contributor can elect to treat a single lump-sum contribution as if it had been spread evenly over five years, allowing up to five times the annual exclusion amount to be contributed at once, tax-free, without touching the lifetime exemption.</w:t>
      </w:r>
    </w:p>
    <w:p>
      <w:pPr>
        <w:spacing w:after="140" w:line="276"/>
      </w:pPr>
      <w:r>
        <w:rPr>
          <w:rFonts w:ascii="Calibri" w:cs="Calibri" w:eastAsia="Calibri" w:hAnsi="Calibri"/>
          <w:sz w:val="21"/>
          <w:szCs w:val="21"/>
        </w:rPr>
        <w:t xml:space="preserve">Because a married couple can each make this election for the same beneficiary, and because the election can be made separately for each different beneficiary (each child or grandchild), a couple can move a genuinely large sum out of their estate at once — five times the per-person annual exclusion, doubled for both spouses, multiplied by however many beneficiaries they are funding — all growing tax-free in the 529 plan from that point forward for qualified education expenses.</w:t>
      </w:r>
    </w:p>
    <w:p>
      <w:pPr>
        <w:spacing w:after="140" w:line="276"/>
      </w:pPr>
      <w:r>
        <w:rPr>
          <w:rFonts w:ascii="Calibri" w:cs="Calibri" w:eastAsia="Calibri" w:hAnsi="Calibri"/>
          <w:sz w:val="21"/>
          <w:szCs w:val="21"/>
        </w:rPr>
        <w:t xml:space="preserve">The tradeoff is that making the five-year election uses up that beneficiary’s annual exclusion for all five years at once: if the contributor gives that same beneficiary any other gifts during those five years, some of the annual exclusion may already be used up, and if the contributor dies during the five-year period, any remaining unused years’ worth of the election is included back in their estate.</w:t>
      </w:r>
    </w:p>
    <w:p>
      <w:pPr>
        <w:pStyle w:val="ListParagraph"/>
        <w:numPr>
          <w:ilvl w:val="0"/>
          <w:numId w:val="2"/>
        </w:numPr>
        <w:spacing w:after="60" w:line="276"/>
      </w:pPr>
      <w:r>
        <w:rPr>
          <w:rFonts w:ascii="Calibri" w:cs="Calibri" w:eastAsia="Calibri" w:hAnsi="Calibri"/>
          <w:sz w:val="21"/>
          <w:szCs w:val="21"/>
        </w:rPr>
        <w:t xml:space="preserve">The election is made by filing Form 709 (the gift-tax return) for the year of the contribution, checking the box to spread the gift over five years — this is a required filing even though no gift tax is actually owed.</w:t>
      </w:r>
    </w:p>
    <w:p>
      <w:pPr>
        <w:pStyle w:val="ListParagraph"/>
        <w:numPr>
          <w:ilvl w:val="0"/>
          <w:numId w:val="2"/>
        </w:numPr>
        <w:spacing w:after="60" w:line="276"/>
      </w:pPr>
      <w:r>
        <w:rPr>
          <w:rFonts w:ascii="Calibri" w:cs="Calibri" w:eastAsia="Calibri" w:hAnsi="Calibri"/>
          <w:sz w:val="21"/>
          <w:szCs w:val="21"/>
        </w:rPr>
        <w:t xml:space="preserve">Funds contributed this way still belong to the 529 account and must be used for qualified education expenses to avoid tax and a 10% penalty on the earnings portion of any nonqualified withdrawal — this is an estate and growth strategy, not a way to access cash for other purposes.</w:t>
      </w:r>
    </w:p>
    <w:p>
      <w:pPr>
        <w:pStyle w:val="ListParagraph"/>
        <w:numPr>
          <w:ilvl w:val="0"/>
          <w:numId w:val="2"/>
        </w:numPr>
        <w:spacing w:after="60" w:line="276"/>
      </w:pPr>
      <w:r>
        <w:rPr>
          <w:rFonts w:ascii="Calibri" w:cs="Calibri" w:eastAsia="Calibri" w:hAnsi="Calibri"/>
          <w:sz w:val="21"/>
          <w:szCs w:val="21"/>
        </w:rPr>
        <w:t xml:space="preserve">Confirm the current annual gift-tax exclusion amount before calculating the exact five-year contribution ceiling, since it is adjusted for inflation periodically.</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Grandparents want to fund a new grandchild's 529 plan and have significant assets they would like to move out of their eventual taxable estate. At a $19,000 annual gift-tax exclusion per person per recipient, a single grandparent could ordinarily give only $19,000 tax-free to the grandchild this year. By electing five-year averaging under § 529(c)(2)(B), that same grandparent can instead contribute $95,000 ($19,000 × 5) in one lump sum today, treated as if it had been given $19,000 per year for five years — no gift tax owed, and none of the couple's combined multi-million-dollar lifetime exemption used, just a Form 709 filed to document the election. Because the grandmother and grandfather can each make this election, and each can do so separately for each grandchild, a couple with three grandchildren can move up to $570,000 ($95,000 × 2 grandparents × 3 grandchildren) out of their estate in a single year, all of it immediately invested and compounding tax-free for education rather than trickling in over five separate annual gifts. The tradeoff: if either grandparent gives any of these three grandchildren additional gifts during the next five years, or if a grandparent dies partway through the five-year period, the unused portion of that grandchild's election is added back into that grandparent's estate.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24. The Short-Term Rental Loophole for Active Losses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Real Estate</w:t>
      </w:r>
    </w:p>
    <w:p>
      <w:pPr>
        <w:spacing w:after="140" w:line="276"/>
      </w:pPr>
      <w:r>
        <w:rPr>
          <w:rFonts w:ascii="Calibri" w:cs="Calibri" w:eastAsia="Calibri" w:hAnsi="Calibri"/>
          <w:sz w:val="21"/>
          <w:szCs w:val="21"/>
        </w:rPr>
        <w:t xml:space="preserve">Rental real estate is normally passive by default, which traps its losses against other passive income only — a real limitation for an owner who wants a large first-year cost-segregation loss (see the real estate cost-segregation strategy above) to offset their wages or business income. A specific regulatory exception for short-term rentals removes that trap entirely, without needing a § 469 grouping election or real-estate-professional status, provided the rental genuinely qualifies.</w:t>
      </w:r>
    </w:p>
    <w:p>
      <w:pPr>
        <w:pStyle w:val="Heading2"/>
        <w:spacing w:after="80" w:before="200"/>
      </w:pPr>
      <w:r>
        <w:rPr>
          <w:rFonts w:ascii="Calibri" w:cs="Calibri" w:eastAsia="Calibri" w:hAnsi="Calibri"/>
          <w:b/>
          <w:bCs/>
          <w:color w:val="2E5496"/>
          <w:sz w:val="24"/>
          <w:szCs w:val="24"/>
        </w:rPr>
        <w:t xml:space="preserve">Why Short-Term Rentals Are Treated Differently</w:t>
      </w:r>
    </w:p>
    <w:p>
      <w:pPr>
        <w:spacing w:after="140" w:line="276"/>
      </w:pPr>
      <w:r>
        <w:rPr>
          <w:rFonts w:ascii="Calibri" w:cs="Calibri" w:eastAsia="Calibri" w:hAnsi="Calibri"/>
          <w:sz w:val="21"/>
          <w:szCs w:val="21"/>
        </w:rPr>
        <w:t xml:space="preserve">Treas. Reg. § 1.469-1T(e)(3)(ii)(A) excludes a rental activity from the definition of a "rental activity" for passive-loss purposes if the average period of customer use is seven days or less (or thirty days or less if significant personal services are also provided, like a hotel). This exclusion exists because a business that turns over guests every few days looks economically more like operating a hotel than like renting out real estate long-term — and hotel-type businesses have never been treated as automatically passive.</w:t>
      </w:r>
    </w:p>
    <w:p>
      <w:pPr>
        <w:spacing w:after="140" w:line="276"/>
      </w:pPr>
      <w:r>
        <w:rPr>
          <w:rFonts w:ascii="Calibri" w:cs="Calibri" w:eastAsia="Calibri" w:hAnsi="Calibri"/>
          <w:sz w:val="21"/>
          <w:szCs w:val="21"/>
        </w:rPr>
        <w:t xml:space="preserve">Once a rental activity falls outside the passive "rental activity" definition on this seven-day basis, it is tested under the ordinary material-participation rules that apply to any other trade or business (Treas. Reg. § 1.469-5T) rather than under the rental-specific rules. If the owner materially participates — commonly satisfied by spending more than 500 hours on the activity during the year, or more time than anyone else involved, among several available tests — the activity is non-passive, and its losses (including a large first-year cost-segregation loss) can offset the owner’s wages, business income, or any other active income, with no grouping election and no need to qualify as a real-estate professional.</w:t>
      </w:r>
    </w:p>
    <w:p>
      <w:pPr>
        <w:pStyle w:val="ListParagraph"/>
        <w:numPr>
          <w:ilvl w:val="0"/>
          <w:numId w:val="2"/>
        </w:numPr>
        <w:spacing w:after="60" w:line="276"/>
      </w:pPr>
      <w:r>
        <w:rPr>
          <w:rFonts w:ascii="Calibri" w:cs="Calibri" w:eastAsia="Calibri" w:hAnsi="Calibri"/>
          <w:sz w:val="21"/>
          <w:szCs w:val="21"/>
        </w:rPr>
        <w:t xml:space="preserve">The seven-day (or thirty-day-with-services) average-stay test is calculated across the whole tax year, based on actual guest stays — a property with mostly week-long-or-shorter bookings, with the occasional longer stay mixed in, needs the average recalculated carefully, not assumed.</w:t>
      </w:r>
    </w:p>
    <w:p>
      <w:pPr>
        <w:pStyle w:val="ListParagraph"/>
        <w:numPr>
          <w:ilvl w:val="0"/>
          <w:numId w:val="2"/>
        </w:numPr>
        <w:spacing w:after="60" w:line="276"/>
      </w:pPr>
      <w:r>
        <w:rPr>
          <w:rFonts w:ascii="Calibri" w:cs="Calibri" w:eastAsia="Calibri" w:hAnsi="Calibri"/>
          <w:sz w:val="21"/>
          <w:szCs w:val="21"/>
        </w:rPr>
        <w:t xml:space="preserve">Material participation still has to be real and documented — hours spent on booking, cleaning coordination, guest communication, maintenance, and management should be logged contemporaneously, the same as for any other material-participation claim.</w:t>
      </w:r>
    </w:p>
    <w:p>
      <w:pPr>
        <w:pStyle w:val="ListParagraph"/>
        <w:numPr>
          <w:ilvl w:val="0"/>
          <w:numId w:val="2"/>
        </w:numPr>
        <w:spacing w:after="60" w:line="276"/>
      </w:pPr>
      <w:r>
        <w:rPr>
          <w:rFonts w:ascii="Calibri" w:cs="Calibri" w:eastAsia="Calibri" w:hAnsi="Calibri"/>
          <w:sz w:val="21"/>
          <w:szCs w:val="21"/>
        </w:rPr>
        <w:t xml:space="preserve">This exception applies regardless of whether the owner has any other real-estate professional status — it is a standalone regulatory carve-out based purely on the rental’s average stay length and the owner’s participation in that specific activity, not on the owner’s overall real-estate involvement.</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owner earning $220,000 in W-2 wages from her regular job buys a $650,000 vacation property and rents it out exclusively through short-term booking platforms, with an average guest stay of four nights across the year. A cost segregation study reclassifies roughly 25% of the building's value ($162,500) into 5- and 15-year components, generating a $158,000 first-year bonus-depreciation loss once operating expenses are added in. She personally manages bookings, cleaning coordination, and guest communication, logging 600 hours over the year — more than anyone else involved with the property. Because the average stay is under seven days (satisfying the regulatory carve-out) and she materially participates (satisfying the 500-hour test), the activity is non-passive: the full $158,000 loss offsets her $220,000 of W-2 wages directly, cutting her taxable income to $62,000 and saving roughly $52,000 in federal tax at a 33% marginal rate — with no grouping election and no real-estate-professional status required. Had she instead hired a full-time property manager to handle bookings and guest communication, the same $158,000 loss would very likely fail the material-participation test despite the average-stay test still being met, leaving the loss suspended as passive with no current benefit at all.</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25. Selling a Partnership Interest: Debt-Relief Gain, Suspended-Loss Release, and Hot Assets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Partnership / LLC</w:t>
      </w:r>
    </w:p>
    <w:p>
      <w:pPr>
        <w:spacing w:after="140" w:line="276"/>
      </w:pPr>
      <w:r>
        <w:rPr>
          <w:rFonts w:ascii="Calibri" w:cs="Calibri" w:eastAsia="Calibri" w:hAnsi="Calibri"/>
          <w:sz w:val="21"/>
          <w:szCs w:val="21"/>
        </w:rPr>
        <w:t xml:space="preserve">Selling an interest in a partnership or an LLC taxed as a partnership is far more complicated than selling ordinary property, because the partner’s share of the partnership’s debt, its suspended losses, and the character of its underlying assets all feed into the final tax result — often in ways that make the true gain very different from what the seller expects looking only at the cash they received.</w:t>
      </w:r>
    </w:p>
    <w:p>
      <w:pPr>
        <w:pStyle w:val="Heading2"/>
        <w:spacing w:after="80" w:before="200"/>
      </w:pPr>
      <w:r>
        <w:rPr>
          <w:rFonts w:ascii="Calibri" w:cs="Calibri" w:eastAsia="Calibri" w:hAnsi="Calibri"/>
          <w:b/>
          <w:bCs/>
          <w:color w:val="2E5496"/>
          <w:sz w:val="24"/>
          <w:szCs w:val="24"/>
        </w:rPr>
        <w:t xml:space="preserve">The Debt-Relief Trap: Why the Taxable Gain Can Exceed the Cash Received</w:t>
      </w:r>
    </w:p>
    <w:p>
      <w:pPr>
        <w:spacing w:after="140" w:line="276"/>
      </w:pPr>
      <w:r>
        <w:rPr>
          <w:rFonts w:ascii="Calibri" w:cs="Calibri" w:eastAsia="Calibri" w:hAnsi="Calibri"/>
          <w:sz w:val="21"/>
          <w:szCs w:val="21"/>
        </w:rPr>
        <w:t xml:space="preserve">When a partner sells their interest, the amount they are treated as receiving for tax purposes is not just the cash paid at closing — it also includes their share of the partnership’s liabilities that they are relieved of as part of the sale. Under IRC § 752(b), a decrease in a partner’s share of partnership debt is treated as a deemed cash distribution, and that deemed distribution is added to the actual cash received to determine the total "amount realized." Gain is then the amount realized minus the partner’s outside basis in the interest.</w:t>
      </w:r>
    </w:p>
    <w:p>
      <w:pPr>
        <w:spacing w:after="140" w:line="276"/>
      </w:pPr>
      <w:r>
        <w:rPr>
          <w:rFonts w:ascii="Calibri" w:cs="Calibri" w:eastAsia="Calibri" w:hAnsi="Calibri"/>
          <w:sz w:val="21"/>
          <w:szCs w:val="21"/>
        </w:rPr>
        <w:t xml:space="preserve">This matters enormously for a partner whose interest carries a large allocated share of partnership debt relative to the cash price being paid — which is common in capital-intensive, debt-financed businesses. A partner who has a deeply negative capital account (meaning they have historically been allocated more in losses and distributions than they actually contributed, funded by their share of the partnership’s debt) can find that the debt relief alone, added to the cash, produces a taxable gain many times larger than the cash they actually received — sometimes even where the underlying business modestly declined in value. This is true even for nonrecourse debt, and even where the debt relief exceeds the fair market value of the assets involved.</w:t>
      </w:r>
    </w:p>
    <w:p>
      <w:pPr>
        <w:pStyle w:val="ListParagraph"/>
        <w:numPr>
          <w:ilvl w:val="0"/>
          <w:numId w:val="2"/>
        </w:numPr>
        <w:spacing w:after="60" w:line="276"/>
      </w:pPr>
      <w:r>
        <w:rPr>
          <w:rFonts w:ascii="Calibri" w:cs="Calibri" w:eastAsia="Calibri" w:hAnsi="Calibri"/>
          <w:sz w:val="21"/>
          <w:szCs w:val="21"/>
        </w:rPr>
        <w:t xml:space="preserve">Before agreeing to sell a partnership interest, calculate outside basis and the seller’s exact share of partnership liabilities as of the closing date — do not estimate the tax cost from the cash price alone.</w:t>
      </w:r>
    </w:p>
    <w:p>
      <w:pPr>
        <w:pStyle w:val="ListParagraph"/>
        <w:numPr>
          <w:ilvl w:val="0"/>
          <w:numId w:val="2"/>
        </w:numPr>
        <w:spacing w:after="60" w:line="276"/>
      </w:pPr>
      <w:r>
        <w:rPr>
          <w:rFonts w:ascii="Calibri" w:cs="Calibri" w:eastAsia="Calibri" w:hAnsi="Calibri"/>
          <w:sz w:val="21"/>
          <w:szCs w:val="21"/>
        </w:rPr>
        <w:t xml:space="preserve">A deeply negative capital account is a warning sign worth investigating well before a sale is contemplated, not after: it usually means the partner has already benefited from losses in excess of actual investment, funded by debt, and the disposition is when that benefit gets reconciled through gain.</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investor holds a 10% limited-partner interest in a real-estate partnership. Over the years, his share of depreciation losses (fully deductible against his outside basis) reduced his outside basis to zero, and further allocated losses beyond that point were simply suspended — meanwhile the partnership continued to carry $8,000,000 of mortgage debt, of which his 10% share is $800,000. He agrees to sell his interest for a modest $50,000 cash payment. His amount realized for tax purposes is not $50,000 — it is $50,000 of cash plus his $800,000 share of debt relief (since selling the interest relieves him of that allocated liability), for a total amount realized of $850,000. Because his outside basis is zero (already exhausted by prior losses), his entire $850,000 amount realized is taxable gain — a gain seventeen times larger than the cash he actually received. Before signing anything, his advisor pulls his K-1 history and confirms his outside basis and debt share precisely; without that step, he would have modeled his tax cost on the $50,000 cash price alone and been caught badly off guard by a $850,000 gain instead.</w:t>
      </w:r>
    </w:p>
    <w:p>
      <w:pPr>
        <w:pStyle w:val="Heading2"/>
        <w:spacing w:after="80" w:before="200"/>
      </w:pPr>
      <w:r>
        <w:rPr>
          <w:rFonts w:ascii="Calibri" w:cs="Calibri" w:eastAsia="Calibri" w:hAnsi="Calibri"/>
          <w:b/>
          <w:bCs/>
          <w:color w:val="2E5496"/>
          <w:sz w:val="24"/>
          <w:szCs w:val="24"/>
        </w:rPr>
        <w:t xml:space="preserve">Releasing Suspended Losses on the Same Disposition</w:t>
      </w:r>
    </w:p>
    <w:p>
      <w:pPr>
        <w:spacing w:after="140" w:line="276"/>
      </w:pPr>
      <w:r>
        <w:rPr>
          <w:rFonts w:ascii="Calibri" w:cs="Calibri" w:eastAsia="Calibri" w:hAnsi="Calibri"/>
          <w:sz w:val="21"/>
          <w:szCs w:val="21"/>
        </w:rPr>
        <w:t xml:space="preserve">Losses from a passive partnership interest, disallowed in the years they arose, are suspended and carried forward rather than lost. IRC § 469(g) provides that when a partner disposes of their entire interest in a passive activity in a fully taxable transaction to an unrelated party, the suspended losses attached to that activity are freed and become deductible against income of any character — including the very gain generated by the sale, and even ordinary income from other sources.</w:t>
      </w:r>
    </w:p>
    <w:p>
      <w:pPr>
        <w:spacing w:after="140" w:line="276"/>
      </w:pPr>
      <w:r>
        <w:rPr>
          <w:rFonts w:ascii="Calibri" w:cs="Calibri" w:eastAsia="Calibri" w:hAnsi="Calibri"/>
          <w:sz w:val="21"/>
          <w:szCs w:val="21"/>
        </w:rPr>
        <w:t xml:space="preserve">The catch is that a partner’s losses over the years typically pass through several sequential limitations before ever reaching the passive-loss suspension that § 469(g) releases: first a basis limitation (a partner cannot deduct losses beyond their outside basis), then an at-risk limitation (losses funded by debt that is not treated as genuinely "at risk," such as most nonrecourse financing that is not qualified real-estate financing, are separately suspended), and only losses that clear both of those hurdles reach the passive-activity suspension that § 469(g) frees on disposition. A partner with a large negative capital account often has losses parked at the at-risk stage rather than the passive stage — a different set of release mechanics, but a similar practical result: the losses become available again when the disposition increases the partner’s at-risk amount.</w:t>
      </w:r>
    </w:p>
    <w:p>
      <w:pPr>
        <w:spacing w:after="140" w:line="276"/>
      </w:pPr>
      <w:r>
        <w:rPr>
          <w:rFonts w:ascii="Calibri" w:cs="Calibri" w:eastAsia="Calibri" w:hAnsi="Calibri"/>
          <w:sz w:val="21"/>
          <w:szCs w:val="21"/>
        </w:rPr>
        <w:t xml:space="preserve">The critical diagnostic question, before assuming a large pool of "suspended losses" will offset the sale gain, is whether those losses were ever actually suspended and carried forward on a return in the first place, or whether they were already deducted in prior years. A deeply negative capital account is frequently a sign that losses were already deducted (funded by debt) rather than suspended — in which case they are not available a second time; the disposition gain is, in effect, the reconciliation of benefits already received, not a double benefit waiting to be claimed.</w:t>
      </w:r>
    </w:p>
    <w:p>
      <w:pPr>
        <w:pStyle w:val="ListParagraph"/>
        <w:numPr>
          <w:ilvl w:val="0"/>
          <w:numId w:val="2"/>
        </w:numPr>
        <w:spacing w:after="60" w:line="276"/>
      </w:pPr>
      <w:r>
        <w:rPr>
          <w:rFonts w:ascii="Calibri" w:cs="Calibri" w:eastAsia="Calibri" w:hAnsi="Calibri"/>
          <w:sz w:val="21"/>
          <w:szCs w:val="21"/>
        </w:rPr>
        <w:t xml:space="preserve">This release requires disposing of the entire interest, in a transaction that is fully taxable (not a tax-deferred exchange), to an unrelated party — a partial sale or a related-party transfer does not trigger the same release.</w:t>
      </w:r>
    </w:p>
    <w:p>
      <w:pPr>
        <w:pStyle w:val="ListParagraph"/>
        <w:numPr>
          <w:ilvl w:val="0"/>
          <w:numId w:val="2"/>
        </w:numPr>
        <w:spacing w:after="60" w:line="276"/>
      </w:pPr>
      <w:r>
        <w:rPr>
          <w:rFonts w:ascii="Calibri" w:cs="Calibri" w:eastAsia="Calibri" w:hAnsi="Calibri"/>
          <w:sz w:val="21"/>
          <w:szCs w:val="21"/>
        </w:rPr>
        <w:t xml:space="preserve">Reconstructing which losses were suspended (and at which limitation) versus already deducted requires a full basis and at-risk history from the date of investment forward — this is foundational work that has to happen before the loss-release position can be claimed with any confidence.</w:t>
      </w:r>
    </w:p>
    <w:p>
      <w:pPr>
        <w:pStyle w:val="Heading2"/>
        <w:spacing w:after="80" w:before="200"/>
      </w:pPr>
      <w:r>
        <w:rPr>
          <w:rFonts w:ascii="Calibri" w:cs="Calibri" w:eastAsia="Calibri" w:hAnsi="Calibri"/>
          <w:b/>
          <w:bCs/>
          <w:color w:val="2E5496"/>
          <w:sz w:val="24"/>
          <w:szCs w:val="24"/>
        </w:rPr>
        <w:t xml:space="preserve">Hot Assets: When Part of the Gain Is Ordinary, Not Capital</w:t>
      </w:r>
    </w:p>
    <w:p>
      <w:pPr>
        <w:spacing w:after="140" w:line="276"/>
      </w:pPr>
      <w:r>
        <w:rPr>
          <w:rFonts w:ascii="Calibri" w:cs="Calibri" w:eastAsia="Calibri" w:hAnsi="Calibri"/>
          <w:sz w:val="21"/>
          <w:szCs w:val="21"/>
        </w:rPr>
        <w:t xml:space="preserve">Not all of the gain on a partnership-interest sale is necessarily long-term capital gain. IRC § 751(a) requires that the portion of the gain attributable to the partnership’s "unrealized receivables" and "inventory items" — commonly called hot assets — be recharacterized as ordinary income. Unrealized receivables specifically include depreciation recapture embedded in the partnership’s property (the portion of accumulated depreciation that would be recaptured as ordinary income if the partnership sold the underlying asset directly).</w:t>
      </w:r>
    </w:p>
    <w:p>
      <w:pPr>
        <w:spacing w:after="140" w:line="276"/>
      </w:pPr>
      <w:r>
        <w:rPr>
          <w:rFonts w:ascii="Calibri" w:cs="Calibri" w:eastAsia="Calibri" w:hAnsi="Calibri"/>
          <w:sz w:val="21"/>
          <w:szCs w:val="21"/>
        </w:rPr>
        <w:t xml:space="preserve">A business that has taken significant depreciation on capital-intensive assets — equipment, real estate, vehicles — over the years is likely to have a meaningful hot-assets component built into any sale of an interest in it, because that recapture exposure travels with the interest and is triggered by its sale, the same as it would be if the partnership sold the underlying assets directly. The final K-1 for the year of sale should include a specific § 751(a) statement quantifying this ordinary-income slice; without it, the seller cannot correctly determine how much of the gain is capital versus ordinary.</w:t>
      </w:r>
    </w:p>
    <w:p>
      <w:pPr>
        <w:pStyle w:val="ListParagraph"/>
        <w:numPr>
          <w:ilvl w:val="0"/>
          <w:numId w:val="2"/>
        </w:numPr>
        <w:spacing w:after="60" w:line="276"/>
      </w:pPr>
      <w:r>
        <w:rPr>
          <w:rFonts w:ascii="Calibri" w:cs="Calibri" w:eastAsia="Calibri" w:hAnsi="Calibri"/>
          <w:sz w:val="21"/>
          <w:szCs w:val="21"/>
        </w:rPr>
        <w:t xml:space="preserve">The ordinary-income (hot-assets) portion of the gain generally cannot be deferred through an installment sale (§ 453(i) specifically excludes recapture income from installment reporting), even if the rest of the gain otherwise could be.</w:t>
      </w:r>
    </w:p>
    <w:p>
      <w:pPr>
        <w:pStyle w:val="ListParagraph"/>
        <w:numPr>
          <w:ilvl w:val="0"/>
          <w:numId w:val="2"/>
        </w:numPr>
        <w:spacing w:after="60" w:line="276"/>
      </w:pPr>
      <w:r>
        <w:rPr>
          <w:rFonts w:ascii="Calibri" w:cs="Calibri" w:eastAsia="Calibri" w:hAnsi="Calibri"/>
          <w:sz w:val="21"/>
          <w:szCs w:val="21"/>
        </w:rPr>
        <w:t xml:space="preserve">Losses released under the suspended-loss mechanism above can offset this ordinary-income slice just as they can offset the capital-gain portion — so quantifying both pieces correctly matters for sizing the total tax benefit of the loss release, not just for the character of the gain itself.</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Do not assume a partnership-interest sale is entirely long-term capital gain simply because the interest itself was held long-term — the hot-assets rule looks through to the character of the partnership’s underlying assets, and a business with substantial depreciated equipment or real estate typically has real ordinary-income exposure buried in what looks, from the seller’s side, like a single capital transaction.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26. Qualified Opportunity Zone (QOZ) Capital Gain Deferral</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Real Estate  ·  Individual / Investment</w:t>
      </w:r>
    </w:p>
    <w:p>
      <w:pPr>
        <w:spacing w:after="140" w:line="276"/>
      </w:pPr>
      <w:r>
        <w:rPr>
          <w:rFonts w:ascii="Calibri" w:cs="Calibri" w:eastAsia="Calibri" w:hAnsi="Calibri"/>
          <w:sz w:val="21"/>
          <w:szCs w:val="21"/>
        </w:rPr>
        <w:t xml:space="preserve">A taxpayer who realizes a large capital gain can elect to defer the tax on that gain — potentially for years — by reinvesting it in a Qualified Opportunity Fund (QOF), an investment vehicle that in turn invests in designated lower-income areas. Beyond the deferral itself, holding the QOF investment long enough can permanently exclude the appreciation that accrues on the new investment.</w:t>
      </w:r>
    </w:p>
    <w:p>
      <w:pPr>
        <w:pStyle w:val="Heading2"/>
        <w:spacing w:after="80" w:before="200"/>
      </w:pPr>
      <w:r>
        <w:rPr>
          <w:rFonts w:ascii="Calibri" w:cs="Calibri" w:eastAsia="Calibri" w:hAnsi="Calibri"/>
          <w:b/>
          <w:bCs/>
          <w:color w:val="2E5496"/>
          <w:sz w:val="24"/>
          <w:szCs w:val="24"/>
        </w:rPr>
        <w:t xml:space="preserve">How the Deferral and Exclusion Work</w:t>
      </w:r>
    </w:p>
    <w:p>
      <w:pPr>
        <w:spacing w:after="140" w:line="276"/>
      </w:pPr>
      <w:r>
        <w:rPr>
          <w:rFonts w:ascii="Calibri" w:cs="Calibri" w:eastAsia="Calibri" w:hAnsi="Calibri"/>
          <w:sz w:val="21"/>
          <w:szCs w:val="21"/>
        </w:rPr>
        <w:t xml:space="preserve">A taxpayer with an eligible capital gain has a limited window — generally 180 days from the event that produced the gain — to invest a matching amount in a Qualified Opportunity Fund and elect to defer recognition of that gain. The deferred gain is not forgiven; it is recognized later, generally on the earlier of the taxpayer disposing of the QOF investment or a statutory inclusion date set by the current rules, at which point the originally deferred amount becomes taxable (subject to any basis step-up the specific rules in effect provide for a sufficiently long holding period before that date).</w:t>
      </w:r>
    </w:p>
    <w:p>
      <w:pPr>
        <w:spacing w:after="140" w:line="276"/>
      </w:pPr>
      <w:r>
        <w:rPr>
          <w:rFonts w:ascii="Calibri" w:cs="Calibri" w:eastAsia="Calibri" w:hAnsi="Calibri"/>
          <w:sz w:val="21"/>
          <w:szCs w:val="21"/>
        </w:rPr>
        <w:t xml:space="preserve">Separately from the deferral of the original gain, if the taxpayer holds the new QOF investment itself for a long enough period (historically structured around a roughly ten-year holding point), any appreciation in the QOF investment itself — growth on the new money, not the original deferred gain — can be permanently excluded from tax entirely when the QOF interest is eventually sold. This second benefit is what makes QOZ investing attractive as more than just a deferral tool: it can convert new investment growth into entirely tax-free gain.</w:t>
      </w:r>
    </w:p>
    <w:p>
      <w:pPr>
        <w:spacing w:after="140" w:line="276"/>
      </w:pPr>
      <w:r>
        <w:rPr>
          <w:rFonts w:ascii="Calibri" w:cs="Calibri" w:eastAsia="Calibri" w:hAnsi="Calibri"/>
          <w:sz w:val="21"/>
          <w:szCs w:val="21"/>
        </w:rPr>
        <w:t xml:space="preserve">For gain that passes through a partnership K-1 (rather than being realized directly by an individual), the 180-day window can, under specific rules, be measured from a later date tied to the partnership’s own tax year-end or return due date rather than from the underlying transaction date itself — which can meaningfully extend the practical decision window well beyond what a taxpayer might assume from the general 180-day rule.</w:t>
      </w:r>
    </w:p>
    <w:p>
      <w:pPr>
        <w:pStyle w:val="ListParagraph"/>
        <w:numPr>
          <w:ilvl w:val="0"/>
          <w:numId w:val="2"/>
        </w:numPr>
        <w:spacing w:after="60" w:line="276"/>
      </w:pPr>
      <w:r>
        <w:rPr>
          <w:rFonts w:ascii="Calibri" w:cs="Calibri" w:eastAsia="Calibri" w:hAnsi="Calibri"/>
          <w:sz w:val="21"/>
          <w:szCs w:val="21"/>
        </w:rPr>
        <w:t xml:space="preserve">Only the capital-gain portion of a transaction is eligible for QOZ deferral — any portion of a gain that is ordinary income (for example, the hot-assets/depreciation-recapture slice discussed in the partnership-sale strategy above) cannot be deferred this way.</w:t>
      </w:r>
    </w:p>
    <w:p>
      <w:pPr>
        <w:pStyle w:val="ListParagraph"/>
        <w:numPr>
          <w:ilvl w:val="0"/>
          <w:numId w:val="2"/>
        </w:numPr>
        <w:spacing w:after="60" w:line="276"/>
      </w:pPr>
      <w:r>
        <w:rPr>
          <w:rFonts w:ascii="Calibri" w:cs="Calibri" w:eastAsia="Calibri" w:hAnsi="Calibri"/>
          <w:sz w:val="21"/>
          <w:szCs w:val="21"/>
        </w:rPr>
        <w:t xml:space="preserve">The specific percentages, holding-period milestones, and zone designations have been modified by subsequent legislation since the original 2017 enactment — confirm the current-law mechanics in effect for the specific tax year of the gain before relying on any exact figures.</w:t>
      </w:r>
    </w:p>
    <w:p>
      <w:pPr>
        <w:pStyle w:val="ListParagraph"/>
        <w:numPr>
          <w:ilvl w:val="0"/>
          <w:numId w:val="2"/>
        </w:numPr>
        <w:spacing w:after="60" w:line="276"/>
      </w:pPr>
      <w:r>
        <w:rPr>
          <w:rFonts w:ascii="Calibri" w:cs="Calibri" w:eastAsia="Calibri" w:hAnsi="Calibri"/>
          <w:sz w:val="21"/>
          <w:szCs w:val="21"/>
        </w:rPr>
        <w:t xml:space="preserve">A QOF investment is illiquid by design and carries real investment risk independent of its tax treatment — the tax deferral is not a reason by itself to make an investment that would not otherwise make sense.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investor realizes a substantial long-term capital gain from selling a business interest. Within the required window, she invests a matching amount into a Qualified Opportunity Fund and elects to defer the gain. The originally deferred gain becomes taxable on the applicable future inclusion date under the rules in effect, but the new QOF investment itself, held for the long holding period the rules require, generates its own separate appreciation that is never taxed at all when she eventually exits the fund.</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27. Tax-Loss Harvesting to Offset Capital Gains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w:t>
      </w:r>
    </w:p>
    <w:p>
      <w:pPr>
        <w:spacing w:after="140" w:line="276"/>
      </w:pPr>
      <w:r>
        <w:rPr>
          <w:rFonts w:ascii="Calibri" w:cs="Calibri" w:eastAsia="Calibri" w:hAnsi="Calibri"/>
          <w:sz w:val="21"/>
          <w:szCs w:val="21"/>
        </w:rPr>
        <w:t xml:space="preserve">An investor holding a diversified portfolio almost always has some positions trading below their purchase price alongside others that have appreciated. Deliberately selling the losing positions to realize losses — "harvesting" them — generates a loss that can offset gains elsewhere, without necessarily changing the investor’s overall market exposure, provided the replacement investment and timing are handled correctly.</w:t>
      </w:r>
    </w:p>
    <w:p>
      <w:pPr>
        <w:pStyle w:val="Heading2"/>
        <w:spacing w:after="80" w:before="200"/>
      </w:pPr>
      <w:r>
        <w:rPr>
          <w:rFonts w:ascii="Calibri" w:cs="Calibri" w:eastAsia="Calibri" w:hAnsi="Calibri"/>
          <w:b/>
          <w:bCs/>
          <w:color w:val="2E5496"/>
          <w:sz w:val="24"/>
          <w:szCs w:val="24"/>
        </w:rPr>
        <w:t xml:space="preserve">How Harvesting Losses Offsets Gains</w:t>
      </w:r>
    </w:p>
    <w:p>
      <w:pPr>
        <w:spacing w:after="140" w:line="276"/>
      </w:pPr>
      <w:r>
        <w:rPr>
          <w:rFonts w:ascii="Calibri" w:cs="Calibri" w:eastAsia="Calibri" w:hAnsi="Calibri"/>
          <w:sz w:val="21"/>
          <w:szCs w:val="21"/>
        </w:rPr>
        <w:t xml:space="preserve">Every dollar of realized capital loss offsets a dollar of realized capital gain, regardless of which specific investments produced each — a loss on one stock can offset a gain on a completely unrelated one, as long as both are properly matched by character (short-term losses offset short-term gains first, long-term offset long-term first, with any excess of one type able to offset the other). For an investor who has, or expects to have, a large realized gain in a given year — from a business sale, a concentrated stock position, or any other source — proactively harvesting losses elsewhere in the portfolio before year-end can materially reduce the net taxable gain.</w:t>
      </w:r>
    </w:p>
    <w:p>
      <w:pPr>
        <w:spacing w:after="140" w:line="276"/>
      </w:pPr>
      <w:r>
        <w:rPr>
          <w:rFonts w:ascii="Calibri" w:cs="Calibri" w:eastAsia="Calibri" w:hAnsi="Calibri"/>
          <w:sz w:val="21"/>
          <w:szCs w:val="21"/>
        </w:rPr>
        <w:t xml:space="preserve">The IRS wash-sale rule (IRC § 1091) disallows the loss if the investor buys the same or a "substantially identical" security within 30 days before or after the sale that generated the loss — the point of harvesting is to realize the tax loss, not to actually exit the market exposure, so investors typically replace the sold position with a similar-but-not-identical investment (a different fund tracking a similar index, for example) to maintain roughly the same market exposure while avoiding the wash-sale trap.</w:t>
      </w:r>
    </w:p>
    <w:p>
      <w:pPr>
        <w:spacing w:after="140" w:line="276"/>
      </w:pPr>
      <w:r>
        <w:rPr>
          <w:rFonts w:ascii="Calibri" w:cs="Calibri" w:eastAsia="Calibri" w:hAnsi="Calibri"/>
          <w:sz w:val="21"/>
          <w:szCs w:val="21"/>
        </w:rPr>
        <w:t xml:space="preserve">A loss that exceeds the gains available to offset in the same year is not wasted — up to a limited amount ($3,000 for most individual filers) can offset ordinary income, and any remainder carries forward indefinitely to offset gains in future years (see the capital-loss-carryforward planning strategy above for how to actively use a large carryforward).</w:t>
      </w:r>
    </w:p>
    <w:p>
      <w:pPr>
        <w:pStyle w:val="ListParagraph"/>
        <w:numPr>
          <w:ilvl w:val="0"/>
          <w:numId w:val="2"/>
        </w:numPr>
        <w:spacing w:after="60" w:line="276"/>
      </w:pPr>
      <w:r>
        <w:rPr>
          <w:rFonts w:ascii="Calibri" w:cs="Calibri" w:eastAsia="Calibri" w:hAnsi="Calibri"/>
          <w:sz w:val="21"/>
          <w:szCs w:val="21"/>
        </w:rPr>
        <w:t xml:space="preserve">Coordinate the timing of harvesting with the timing of the gain it is meant to offset — losses and gains realized in the same tax year are what actually net against each other.</w:t>
      </w:r>
    </w:p>
    <w:p>
      <w:pPr>
        <w:pStyle w:val="ListParagraph"/>
        <w:numPr>
          <w:ilvl w:val="0"/>
          <w:numId w:val="2"/>
        </w:numPr>
        <w:spacing w:after="60" w:line="276"/>
      </w:pPr>
      <w:r>
        <w:rPr>
          <w:rFonts w:ascii="Calibri" w:cs="Calibri" w:eastAsia="Calibri" w:hAnsi="Calibri"/>
          <w:sz w:val="21"/>
          <w:szCs w:val="21"/>
        </w:rPr>
        <w:t xml:space="preserve">Watch the wash-sale rule carefully around year-end, including in a spouse’s account or an IRA, since purchases in those accounts can also trigger a wash sale on a loss realized in a personal taxable account.</w:t>
      </w:r>
    </w:p>
    <w:p>
      <w:pPr>
        <w:pStyle w:val="ListParagraph"/>
        <w:numPr>
          <w:ilvl w:val="0"/>
          <w:numId w:val="2"/>
        </w:numPr>
        <w:spacing w:after="60" w:line="276"/>
      </w:pPr>
      <w:r>
        <w:rPr>
          <w:rFonts w:ascii="Calibri" w:cs="Calibri" w:eastAsia="Calibri" w:hAnsi="Calibri"/>
          <w:sz w:val="21"/>
          <w:szCs w:val="21"/>
        </w:rPr>
        <w:t xml:space="preserve">Harvesting reduces the tax basis of whatever replaces the sold position (since the replacement is typically bought at the current, lower price) — this defers tax rather than eliminating it permanently, since a future sale of the replacement position may recognize more gain than it otherwise would have.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investor expects a large long-term capital gain this year from selling a concentrated stock position. Reviewing the rest of her portfolio, she identifies several fund positions trading below her purchase price and sells them before year-end, realizing losses that offset a meaningful share of the concentrated-stock gain. To maintain her overall market exposure, she immediately reinvests the proceeds into similar, but not substantially identical, funds — avoiding the 30-day wash-sale window while keeping her portfolio positioned roughly as before.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28. The Six-Year Voluntary Compliance Window for Late-Filed Returns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IRS Compliance &amp; Risk Management</w:t>
      </w:r>
    </w:p>
    <w:p>
      <w:pPr>
        <w:spacing w:after="140" w:line="276"/>
      </w:pPr>
      <w:r>
        <w:rPr>
          <w:rFonts w:ascii="Calibri" w:cs="Calibri" w:eastAsia="Calibri" w:hAnsi="Calibri"/>
          <w:sz w:val="21"/>
          <w:szCs w:val="21"/>
        </w:rPr>
        <w:t xml:space="preserve">A taxpayer with several years of unfiled tax returns often assumes every open year must be filed before they can be considered "caught up." In practice, IRS internal policy generally treats the most recent six years of delinquent returns as sufficient to establish compliance, and getting the filing sequence and order right matters as much as simply filing everything eventually.</w:t>
      </w:r>
    </w:p>
    <w:p>
      <w:pPr>
        <w:pStyle w:val="Heading2"/>
        <w:spacing w:after="80" w:before="200"/>
      </w:pPr>
      <w:r>
        <w:rPr>
          <w:rFonts w:ascii="Calibri" w:cs="Calibri" w:eastAsia="Calibri" w:hAnsi="Calibri"/>
          <w:b/>
          <w:bCs/>
          <w:color w:val="2E5496"/>
          <w:sz w:val="24"/>
          <w:szCs w:val="24"/>
        </w:rPr>
        <w:t xml:space="preserve">Why the Filing Sequence Matters</w:t>
      </w:r>
    </w:p>
    <w:p>
      <w:pPr>
        <w:spacing w:after="140" w:line="276"/>
      </w:pPr>
      <w:r>
        <w:rPr>
          <w:rFonts w:ascii="Calibri" w:cs="Calibri" w:eastAsia="Calibri" w:hAnsi="Calibri"/>
          <w:sz w:val="21"/>
          <w:szCs w:val="21"/>
        </w:rPr>
        <w:t xml:space="preserve">IRS Policy Statement 5-133 states that, as a general enforcement matter, the IRS will usually require the last six years of delinquent returns to be filed to bring a taxpayer into filing compliance, though the IRS retains discretion to require more in particular cases (for example, where a specific year involves unusually large unreported income or an ongoing collection matter). This gives a taxpayer with many years of nonfiling a practical roadmap rather than an undifferentiated backlog.</w:t>
      </w:r>
    </w:p>
    <w:p>
      <w:pPr>
        <w:spacing w:after="140" w:line="276"/>
      </w:pPr>
      <w:r>
        <w:rPr>
          <w:rFonts w:ascii="Calibri" w:cs="Calibri" w:eastAsia="Calibri" w:hAnsi="Calibri"/>
          <w:sz w:val="21"/>
          <w:szCs w:val="21"/>
        </w:rPr>
        <w:t xml:space="preserve">Before mailing any back-year return, it is important to pull the taxpayer’s IRS account transcripts and wage-and-income transcripts for the relevant years. These confirm whether the IRS has already filed a "substitute for return" (SFR) for any unfiled year (which changes the filing procedure and can mean the return needs to go through a reconsideration process rather than routine processing), whether there is already an open notice or active collection activity on a given year, and what third-party income documents (W-2s, 1099s, K-1s) the IRS already has on file — so the prepared return reconciles cleanly against IRS records the first time, rather than generating a mismatch notice later.</w:t>
      </w:r>
    </w:p>
    <w:p>
      <w:pPr>
        <w:spacing w:after="140" w:line="276"/>
      </w:pPr>
      <w:r>
        <w:rPr>
          <w:rFonts w:ascii="Calibri" w:cs="Calibri" w:eastAsia="Calibri" w:hAnsi="Calibri"/>
          <w:sz w:val="21"/>
          <w:szCs w:val="21"/>
        </w:rPr>
        <w:t xml:space="preserve">Returns should generally be prepared and filed in chronological order, oldest first, particularly when the taxpayer has carryover items (net operating losses, suspended passive losses, basis schedules, credit carryforwards) that build from one year to the next — filing a later year before an earlier one is finalized risks getting the carryforward figures wrong, since each year’s ending position is the next year’s starting position.</w:t>
      </w:r>
    </w:p>
    <w:p>
      <w:pPr>
        <w:pStyle w:val="ListParagraph"/>
        <w:numPr>
          <w:ilvl w:val="0"/>
          <w:numId w:val="2"/>
        </w:numPr>
        <w:spacing w:after="60" w:line="276"/>
      </w:pPr>
      <w:r>
        <w:rPr>
          <w:rFonts w:ascii="Calibri" w:cs="Calibri" w:eastAsia="Calibri" w:hAnsi="Calibri"/>
          <w:sz w:val="21"/>
          <w:szCs w:val="21"/>
        </w:rPr>
        <w:t xml:space="preserve">Obtain a signed authorization (Form 8821 for transcript access only, or Form 2848 for full representation) before pulling transcripts or contacting the IRS on the taxpayer’s behalf.</w:t>
      </w:r>
    </w:p>
    <w:p>
      <w:pPr>
        <w:pStyle w:val="ListParagraph"/>
        <w:numPr>
          <w:ilvl w:val="0"/>
          <w:numId w:val="2"/>
        </w:numPr>
        <w:spacing w:after="60" w:line="276"/>
      </w:pPr>
      <w:r>
        <w:rPr>
          <w:rFonts w:ascii="Calibri" w:cs="Calibri" w:eastAsia="Calibri" w:hAnsi="Calibri"/>
          <w:sz w:val="21"/>
          <w:szCs w:val="21"/>
        </w:rPr>
        <w:t xml:space="preserve">Prioritize any year with an active, dated IRS notice (such as a non-filer notice) ahead of other years in the sequence, since that year has a live agency action attached to it that benefits from a prompt response.</w:t>
      </w:r>
    </w:p>
    <w:p>
      <w:pPr>
        <w:pStyle w:val="ListParagraph"/>
        <w:numPr>
          <w:ilvl w:val="0"/>
          <w:numId w:val="2"/>
        </w:numPr>
        <w:spacing w:after="60" w:line="276"/>
      </w:pPr>
      <w:r>
        <w:rPr>
          <w:rFonts w:ascii="Calibri" w:cs="Calibri" w:eastAsia="Calibri" w:hAnsi="Calibri"/>
          <w:sz w:val="21"/>
          <w:szCs w:val="21"/>
        </w:rPr>
        <w:t xml:space="preserve">Filing voluntarily, before the IRS makes independent contact about a specific year, is generally viewed more favorably for penalty purposes than filing only after being caught — voluntary correction is a meaningfully different posture than a forced one.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taxpayer discovers they have not filed returns for eight of the last ten years. Rather than treating this as an undifferentiated ten-year backlog, their preparer pulls IRS transcripts for all open years, confirms no substitute-for-return exists for any of them, and finds one year carries an active non-filer notice. The preparer files the six most recent years in chronological order — prioritizing the year with the active notice within that sequence — establishing the carryforward schedules correctly year to year, consistent with the IRS’s general six-year compliance practice, rather than attempting to file all ten years simultaneously out of order.</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29. Getting a Misapplied IRS Payment Correctly Credited</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IRS Compliance &amp; Risk Management</w:t>
      </w:r>
    </w:p>
    <w:p>
      <w:pPr>
        <w:spacing w:after="140" w:line="276"/>
      </w:pPr>
      <w:r>
        <w:rPr>
          <w:rFonts w:ascii="Calibri" w:cs="Calibri" w:eastAsia="Calibri" w:hAnsi="Calibri"/>
          <w:sz w:val="21"/>
          <w:szCs w:val="21"/>
        </w:rPr>
        <w:t xml:space="preserve">A taxpayer who has genuinely paid a large tax balance can still show as owing that same balance online and on IRS notices, if the payment could not be matched to their account when it was received — commonly because it arrived through a third party (an escrow or title company, a payroll service, an attorney’s trust account) without the taxpayer’s correct identifying information attached. Recognizing this pattern, rather than assuming a large stated balance means the tax was never actually paid, can resolve what looks like a six-figure liability with a single administrative correction.</w:t>
      </w:r>
    </w:p>
    <w:p>
      <w:pPr>
        <w:pStyle w:val="Heading2"/>
        <w:spacing w:after="80" w:before="200"/>
      </w:pPr>
      <w:r>
        <w:rPr>
          <w:rFonts w:ascii="Calibri" w:cs="Calibri" w:eastAsia="Calibri" w:hAnsi="Calibri"/>
          <w:b/>
          <w:bCs/>
          <w:color w:val="2E5496"/>
          <w:sz w:val="24"/>
          <w:szCs w:val="24"/>
        </w:rPr>
        <w:t xml:space="preserve">Why a Real Payment Can Show as Unpaid</w:t>
      </w:r>
    </w:p>
    <w:p>
      <w:pPr>
        <w:spacing w:after="140" w:line="276"/>
      </w:pPr>
      <w:r>
        <w:rPr>
          <w:rFonts w:ascii="Calibri" w:cs="Calibri" w:eastAsia="Calibri" w:hAnsi="Calibri"/>
          <w:sz w:val="21"/>
          <w:szCs w:val="21"/>
        </w:rPr>
        <w:t xml:space="preserve">The IRS matches incoming payments to taxpayer accounts primarily by the taxpayer identification number and name associated with the payment. When a payment is routed through an intermediary — a title company processing a real-estate closing, for instance — and that intermediary’s own identifying information gets attached to the payment instead of (or in addition to) the actual taxpayer’s, the IRS may be unable to match the payment to the correct account. Rather than silently applying it anyway, the IRS holds the payment in an unapplied or suspense status and continues to show the taxpayer’s account as carrying the original, unpaid balance — including, potentially, continuing to accrue interest and penalties on a balance that has, in fact, already been paid.</w:t>
      </w:r>
    </w:p>
    <w:p>
      <w:pPr>
        <w:spacing w:after="140" w:line="276"/>
      </w:pPr>
      <w:r>
        <w:rPr>
          <w:rFonts w:ascii="Calibri" w:cs="Calibri" w:eastAsia="Calibri" w:hAnsi="Calibri"/>
          <w:sz w:val="21"/>
          <w:szCs w:val="21"/>
        </w:rPr>
        <w:t xml:space="preserve">This produces a genuinely confusing situation for the taxpayer: their own bank records and check confirm the money left their account and was received by the IRS (visible on an account transcript as a payment, even if unapplied), yet every notice and online account view shows the original balance as still due. Without recognizing the specific misapplied-payment pattern, a taxpayer or preparer might assume additional payment is required, or might dispute the balance without addressing the actual, narrower problem: the payment needs to be correctly identified and credited, not re-sent.</w:t>
      </w:r>
    </w:p>
    <w:p>
      <w:pPr>
        <w:pStyle w:val="ListParagraph"/>
        <w:numPr>
          <w:ilvl w:val="0"/>
          <w:numId w:val="2"/>
        </w:numPr>
        <w:spacing w:after="60" w:line="276"/>
      </w:pPr>
      <w:r>
        <w:rPr>
          <w:rFonts w:ascii="Calibri" w:cs="Calibri" w:eastAsia="Calibri" w:hAnsi="Calibri"/>
          <w:sz w:val="21"/>
          <w:szCs w:val="21"/>
        </w:rPr>
        <w:t xml:space="preserve">The IRS typically sends a specific notice (such as Letter 1687C) when it receives a payment it cannot match, describing the problem and requesting the correct taxpayer information — watch for this notice specifically rather than assuming a payment was lost.</w:t>
      </w:r>
    </w:p>
    <w:p>
      <w:pPr>
        <w:pStyle w:val="ListParagraph"/>
        <w:numPr>
          <w:ilvl w:val="0"/>
          <w:numId w:val="2"/>
        </w:numPr>
        <w:spacing w:after="60" w:line="276"/>
      </w:pPr>
      <w:r>
        <w:rPr>
          <w:rFonts w:ascii="Calibri" w:cs="Calibri" w:eastAsia="Calibri" w:hAnsi="Calibri"/>
          <w:sz w:val="21"/>
          <w:szCs w:val="21"/>
        </w:rPr>
        <w:t xml:space="preserve">Respond promptly with clear written confirmation of the taxpayer’s correct name and taxpayer identification number, along with proof of the payment (the check number, the date, and the amount), and request in writing that the payment be applied to the specific tax periods it was intended for.</w:t>
      </w:r>
    </w:p>
    <w:p>
      <w:pPr>
        <w:pStyle w:val="ListParagraph"/>
        <w:numPr>
          <w:ilvl w:val="0"/>
          <w:numId w:val="2"/>
        </w:numPr>
        <w:spacing w:after="60" w:line="276"/>
      </w:pPr>
      <w:r>
        <w:rPr>
          <w:rFonts w:ascii="Calibri" w:cs="Calibri" w:eastAsia="Calibri" w:hAnsi="Calibri"/>
          <w:sz w:val="21"/>
          <w:szCs w:val="21"/>
        </w:rPr>
        <w:t xml:space="preserve">Until the payment is confirmed as correctly applied, treat the account as still carrying the stated balance for any other purpose (such as computing an installment agreement or evaluating collection exposure) — do not assume the correction is complete until it is confirmed on a subsequent transcript.</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taxpayer pays a large tax balance through a check issued by a title company as part of an unrelated real-estate closing, intending the funds to satisfy two specific years of back taxes. Months later, IRS notices still show the same balance as due, and the taxpayer receives Letter 1687C stating the payment could not be matched to an account because the taxpayer identification number was missing or incorrect on the payment. The taxpayer’s representative responds in writing with the correct name, taxpayer ID, and proof of the payment, requesting it be applied to the two specific tax years — resolving the bulk of the outstanding balance without any additional payment being made.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30. Pursuing IRS Penalty Abatement</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IRS Compliance &amp; Risk Management</w:t>
      </w:r>
    </w:p>
    <w:p>
      <w:pPr>
        <w:spacing w:after="140" w:line="276"/>
      </w:pPr>
      <w:r>
        <w:rPr>
          <w:rFonts w:ascii="Calibri" w:cs="Calibri" w:eastAsia="Calibri" w:hAnsi="Calibri"/>
          <w:sz w:val="21"/>
          <w:szCs w:val="21"/>
        </w:rPr>
        <w:t xml:space="preserve">Late-filing, late-payment, and late-deposit penalties can often be reduced or eliminated entirely after the fact, through a formal abatement request — either based on a taxpayer’s clean recent compliance history, or based on a genuine, well-documented reasonable cause for the lateness. This is a request that has to be affirmatively made; the IRS does not automatically waive penalties just because a good explanation exists.</w:t>
      </w:r>
    </w:p>
    <w:p>
      <w:pPr>
        <w:pStyle w:val="Heading2"/>
        <w:spacing w:after="80" w:before="200"/>
      </w:pPr>
      <w:r>
        <w:rPr>
          <w:rFonts w:ascii="Calibri" w:cs="Calibri" w:eastAsia="Calibri" w:hAnsi="Calibri"/>
          <w:b/>
          <w:bCs/>
          <w:color w:val="2E5496"/>
          <w:sz w:val="24"/>
          <w:szCs w:val="24"/>
        </w:rPr>
        <w:t xml:space="preserve">The Two Main Paths to Abatement</w:t>
      </w:r>
    </w:p>
    <w:p>
      <w:pPr>
        <w:spacing w:after="140" w:line="276"/>
      </w:pPr>
      <w:r>
        <w:rPr>
          <w:rFonts w:ascii="Calibri" w:cs="Calibri" w:eastAsia="Calibri" w:hAnsi="Calibri"/>
          <w:sz w:val="21"/>
          <w:szCs w:val="21"/>
        </w:rPr>
        <w:t xml:space="preserve">The first and simplest path is "first-time abatement" (FTA), an administrative policy under which the IRS will generally waive a failure-to-file, failure-to-pay, or failure-to-deposit penalty for a single tax period if the taxpayer has a clean compliance history for the preceding several years — no penalties of the same type, and all required returns filed. This does not require proving any particular hardship or excuse; it is available essentially because of good recent history, making it the easiest penalty relief to obtain when the taxpayer qualifies.</w:t>
      </w:r>
    </w:p>
    <w:p>
      <w:pPr>
        <w:spacing w:after="140" w:line="276"/>
      </w:pPr>
      <w:r>
        <w:rPr>
          <w:rFonts w:ascii="Calibri" w:cs="Calibri" w:eastAsia="Calibri" w:hAnsi="Calibri"/>
          <w:sz w:val="21"/>
          <w:szCs w:val="21"/>
        </w:rPr>
        <w:t xml:space="preserve">The second path is "reasonable cause," available regardless of prior compliance history, where the taxpayer demonstrates that the failure to file, pay, or deposit on time was due to circumstances beyond their reasonable control despite exercising ordinary business care and prudence — a serious illness, a natural disaster, reliance on incorrect professional advice, or the unavailability of records due to circumstances outside the taxpayer’s control are commonly accepted grounds, though each is evaluated on its specific facts and generally requires contemporaneous documentation, not just an after-the-fact explanation.</w:t>
      </w:r>
    </w:p>
    <w:p>
      <w:pPr>
        <w:spacing w:after="140" w:line="276"/>
      </w:pPr>
      <w:r>
        <w:rPr>
          <w:rFonts w:ascii="Calibri" w:cs="Calibri" w:eastAsia="Calibri" w:hAnsi="Calibri"/>
          <w:sz w:val="21"/>
          <w:szCs w:val="21"/>
        </w:rPr>
        <w:t xml:space="preserve">A penalty-abatement request has to be made — it is not something the IRS applies on its own initiative, even where the taxpayer’s facts would clearly qualify. A taxpayer who paid for or was told they qualify for abatement, but where no actual request was ever filed, has not received any relief at all; the request itself is the operative step, not the underlying eligibility.</w:t>
      </w:r>
    </w:p>
    <w:p>
      <w:pPr>
        <w:pStyle w:val="ListParagraph"/>
        <w:numPr>
          <w:ilvl w:val="0"/>
          <w:numId w:val="2"/>
        </w:numPr>
        <w:spacing w:after="60" w:line="276"/>
      </w:pPr>
      <w:r>
        <w:rPr>
          <w:rFonts w:ascii="Calibri" w:cs="Calibri" w:eastAsia="Calibri" w:hAnsi="Calibri"/>
          <w:sz w:val="21"/>
          <w:szCs w:val="21"/>
        </w:rPr>
        <w:t xml:space="preserve">Check first-time abatement eligibility before building a reasonable-cause argument — it is faster and requires no substantive justification beyond the clean compliance history itself.</w:t>
      </w:r>
    </w:p>
    <w:p>
      <w:pPr>
        <w:pStyle w:val="ListParagraph"/>
        <w:numPr>
          <w:ilvl w:val="0"/>
          <w:numId w:val="2"/>
        </w:numPr>
        <w:spacing w:after="60" w:line="276"/>
      </w:pPr>
      <w:r>
        <w:rPr>
          <w:rFonts w:ascii="Calibri" w:cs="Calibri" w:eastAsia="Calibri" w:hAnsi="Calibri"/>
          <w:sz w:val="21"/>
          <w:szCs w:val="21"/>
        </w:rPr>
        <w:t xml:space="preserve">For a reasonable-cause request, assemble contemporaneous documentation of the underlying circumstance (medical records, disaster declarations, correspondence with a prior preparer) rather than relying on a narrative account alone.</w:t>
      </w:r>
    </w:p>
    <w:p>
      <w:pPr>
        <w:pStyle w:val="ListParagraph"/>
        <w:numPr>
          <w:ilvl w:val="0"/>
          <w:numId w:val="2"/>
        </w:numPr>
        <w:spacing w:after="60" w:line="276"/>
      </w:pPr>
      <w:r>
        <w:rPr>
          <w:rFonts w:ascii="Calibri" w:cs="Calibri" w:eastAsia="Calibri" w:hAnsi="Calibri"/>
          <w:sz w:val="21"/>
          <w:szCs w:val="21"/>
        </w:rPr>
        <w:t xml:space="preserve">Multiple penalties across multiple related entities or tax periods (for example, several years of a payroll failure-to-deposit penalty on a single business) may need separate, specific abatement requests for each period — confirm exactly which periods and which specific penalties a given request actually covers.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incurs failure-to-deposit penalties on payroll taxes across three different tax years, having previously had a clean compliance record. The business engages a preparer to request abatement, but administrative turnover means the actual written request is never filed. Nearly a year later, the penalties remain fully assessed and accruing interest, because eligibility alone accomplished nothing — only the affirmative request, once actually filed and processed, resulted in the penalties being reduced.</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If a client or business believes an abatement request has already been "handled," confirm that an actual, dated request was filed and can be located — a signed engagement letter or an internal to-do list is not evidence that the request itself reached the IRS.</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31. Trust Fund Recovery Penalty Exposure for Responsible Persons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IRS Compliance &amp; Risk Management  ·  Cross-Entity / General Business</w:t>
      </w:r>
    </w:p>
    <w:p>
      <w:pPr>
        <w:spacing w:after="140" w:line="276"/>
      </w:pPr>
      <w:r>
        <w:rPr>
          <w:rFonts w:ascii="Calibri" w:cs="Calibri" w:eastAsia="Calibri" w:hAnsi="Calibri"/>
          <w:sz w:val="21"/>
          <w:szCs w:val="21"/>
        </w:rPr>
        <w:t xml:space="preserve">When a business withholds payroll taxes from its employees’ paychecks but fails to remit them to the IRS, the tax code allows the IRS to assess a penalty personally against any individual it determines was a "responsible person" who willfully failed to ensure the money was paid over — collapsing the usual liability shield of a corporation or LLC and reaching directly into that person’s personal assets.</w:t>
      </w:r>
    </w:p>
    <w:p>
      <w:pPr>
        <w:pStyle w:val="Heading2"/>
        <w:spacing w:after="80" w:before="200"/>
      </w:pPr>
      <w:r>
        <w:rPr>
          <w:rFonts w:ascii="Calibri" w:cs="Calibri" w:eastAsia="Calibri" w:hAnsi="Calibri"/>
          <w:b/>
          <w:bCs/>
          <w:color w:val="2E5496"/>
          <w:sz w:val="24"/>
          <w:szCs w:val="24"/>
        </w:rPr>
        <w:t xml:space="preserve">How Personal Exposure Arises From a Business’s Payroll Failure</w:t>
      </w:r>
    </w:p>
    <w:p>
      <w:pPr>
        <w:spacing w:after="140" w:line="276"/>
      </w:pPr>
      <w:r>
        <w:rPr>
          <w:rFonts w:ascii="Calibri" w:cs="Calibri" w:eastAsia="Calibri" w:hAnsi="Calibri"/>
          <w:sz w:val="21"/>
          <w:szCs w:val="21"/>
        </w:rPr>
        <w:t xml:space="preserve">Payroll withholding — the income tax and the employee’s share of Social Security and Medicare tax taken out of each paycheck — is technically held "in trust" for the government; it never belonged to the employer in the first place, only to the employees and, through withholding, to the IRS. When a business fails to remit this withheld money, IRC § 6672 allows the IRS to assess a penalty equal to 100% of the unpaid trust-fund portion directly against any individual found to be a "responsible person" who acted "willfully" in failing to ensure it was paid.</w:t>
      </w:r>
    </w:p>
    <w:p>
      <w:pPr>
        <w:spacing w:after="140" w:line="276"/>
      </w:pPr>
      <w:r>
        <w:rPr>
          <w:rFonts w:ascii="Calibri" w:cs="Calibri" w:eastAsia="Calibri" w:hAnsi="Calibri"/>
          <w:sz w:val="21"/>
          <w:szCs w:val="21"/>
        </w:rPr>
        <w:t xml:space="preserve">"Responsible person" is interpreted broadly and functionally — it is not limited to whoever holds an official title. Anyone who has the authority and duty to decide which creditors get paid (including the IRS) and control over the business’s finances can qualify, regardless of their formal title or stated ownership percentage. "Willfully" does not require any intent to defraud the government — it is satisfied simply by knowing that payroll taxes were unpaid and choosing to pay other creditors (including the business itself, via continued operations or the owner’s own draws) instead of the IRS.</w:t>
      </w:r>
    </w:p>
    <w:p>
      <w:pPr>
        <w:spacing w:after="140" w:line="276"/>
      </w:pPr>
      <w:r>
        <w:rPr>
          <w:rFonts w:ascii="Calibri" w:cs="Calibri" w:eastAsia="Calibri" w:hAnsi="Calibri"/>
          <w:sz w:val="21"/>
          <w:szCs w:val="21"/>
        </w:rPr>
        <w:t xml:space="preserve">This exposure is entirely personal and survives the liability protection of the underlying business entity — the whole point of the Trust Fund Recovery Penalty is to reach past the corporate or LLC shield to the individual who controlled the decision not to remit the withheld money. A person who is uncertain about their own ownership or officer status in a business, but who in practice manages its payroll and finances, should treat that functional role — not the paperwork — as the operative fact for this purpose.</w:t>
      </w:r>
    </w:p>
    <w:p>
      <w:pPr>
        <w:pStyle w:val="ListParagraph"/>
        <w:numPr>
          <w:ilvl w:val="0"/>
          <w:numId w:val="2"/>
        </w:numPr>
        <w:spacing w:after="60" w:line="276"/>
      </w:pPr>
      <w:r>
        <w:rPr>
          <w:rFonts w:ascii="Calibri" w:cs="Calibri" w:eastAsia="Calibri" w:hAnsi="Calibri"/>
          <w:sz w:val="21"/>
          <w:szCs w:val="21"/>
        </w:rPr>
        <w:t xml:space="preserve">Anyone signing checks, deciding which bills get paid during a cash crunch, or otherwise directing a business’s finances while payroll taxes go unpaid should assume they may be treated as a responsible person, regardless of their formal ownership percentage or job title.</w:t>
      </w:r>
    </w:p>
    <w:p>
      <w:pPr>
        <w:pStyle w:val="ListParagraph"/>
        <w:numPr>
          <w:ilvl w:val="0"/>
          <w:numId w:val="2"/>
        </w:numPr>
        <w:spacing w:after="60" w:line="276"/>
      </w:pPr>
      <w:r>
        <w:rPr>
          <w:rFonts w:ascii="Calibri" w:cs="Calibri" w:eastAsia="Calibri" w:hAnsi="Calibri"/>
          <w:sz w:val="21"/>
          <w:szCs w:val="21"/>
        </w:rPr>
        <w:t xml:space="preserve">The IRS typically investigates through interviews and a specific form (Form 4180) asking about each individual’s actual role, check-signing authority, and knowledge of the unpaid taxes — inconsistent or incomplete answers across multiple individuals in the same business can broaden, not narrow, who ends up assessed.</w:t>
      </w:r>
    </w:p>
    <w:p>
      <w:pPr>
        <w:pStyle w:val="ListParagraph"/>
        <w:numPr>
          <w:ilvl w:val="0"/>
          <w:numId w:val="2"/>
        </w:numPr>
        <w:spacing w:after="60" w:line="276"/>
      </w:pPr>
      <w:r>
        <w:rPr>
          <w:rFonts w:ascii="Calibri" w:cs="Calibri" w:eastAsia="Calibri" w:hAnsi="Calibri"/>
          <w:sz w:val="21"/>
          <w:szCs w:val="21"/>
        </w:rPr>
        <w:t xml:space="preserve">Where more than one individual could plausibly be a responsible person, get the facts about each person’s actual role and authority documented and reconciled early, ideally before any IRS interview process begins, rather than after positions have already been taken.</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withholds $18,000 per quarter in federal income tax and FICA from employee paychecks but, facing a cash crunch, uses that withheld money to pay vendors and rent instead of remitting it to the IRS for three consecutive quarters — $54,000 total. An individual who holds a 15% ownership stake on paper, but who personally signs the checks and decides which bills get paid each week, is interviewed on IRS Form 4180. Because he had both the authority to pay the IRS and the actual knowledge that payroll taxes were going unpaid while other bills were covered instead, the IRS assesses the full $54,000 trust-fund recovery penalty against him personally under § 6672 — not the 15% his ownership percentage might suggest, but 100% of the unpaid trust-fund portion, collectible directly from his personal bank accounts, home equity, and future wages, with the LLC's liability shield providing no protection at all against this specific assessment.</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32. Distributing S-Corporation Earnings Before Converting to a C-Corporation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  ·  C-Corporation</w:t>
      </w:r>
    </w:p>
    <w:p>
      <w:pPr>
        <w:spacing w:after="140" w:line="276"/>
      </w:pPr>
      <w:r>
        <w:rPr>
          <w:rFonts w:ascii="Calibri" w:cs="Calibri" w:eastAsia="Calibri" w:hAnsi="Calibri"/>
          <w:sz w:val="21"/>
          <w:szCs w:val="21"/>
        </w:rPr>
        <w:t xml:space="preserve">A business that has operated as an S corporation and is now converting to a C corporation — commonly to raise outside investment, since venture and private-equity investors generally require a C-corporation structure — is about to lose a valuable, permanent feature: the ability to distribute already-taxed profit to its owners completely free of any further tax. Sweeping out accumulated S-corporation earnings before the conversion closes is a one-time, use-it-or-lose-it opportunity.</w:t>
      </w:r>
    </w:p>
    <w:p>
      <w:pPr>
        <w:pStyle w:val="Heading2"/>
        <w:spacing w:after="80" w:before="200"/>
      </w:pPr>
      <w:r>
        <w:rPr>
          <w:rFonts w:ascii="Calibri" w:cs="Calibri" w:eastAsia="Calibri" w:hAnsi="Calibri"/>
          <w:b/>
          <w:bCs/>
          <w:color w:val="2E5496"/>
          <w:sz w:val="24"/>
          <w:szCs w:val="24"/>
        </w:rPr>
        <w:t xml:space="preserve">Why the Timing of the Distribution Matters So Much</w:t>
      </w:r>
    </w:p>
    <w:p>
      <w:pPr>
        <w:spacing w:after="140" w:line="276"/>
      </w:pPr>
      <w:r>
        <w:rPr>
          <w:rFonts w:ascii="Calibri" w:cs="Calibri" w:eastAsia="Calibri" w:hAnsi="Calibri"/>
          <w:sz w:val="21"/>
          <w:szCs w:val="21"/>
        </w:rPr>
        <w:t xml:space="preserve">While a business is an S corporation, its profit is taxed once — to the owners personally, in the year the profit is earned, whether or not it is actually distributed to them. Because that profit has already been fully taxed, the corporation can later distribute the actual cash to its owners at any time with no further tax due — this is tracked through an accounting concept called the Accumulated Adjustments Account (AAA), which represents the pool of already-taxed profit available for tax-free distribution.</w:t>
      </w:r>
    </w:p>
    <w:p>
      <w:pPr>
        <w:spacing w:after="140" w:line="276"/>
      </w:pPr>
      <w:r>
        <w:rPr>
          <w:rFonts w:ascii="Calibri" w:cs="Calibri" w:eastAsia="Calibri" w:hAnsi="Calibri"/>
          <w:sz w:val="21"/>
          <w:szCs w:val="21"/>
        </w:rPr>
        <w:t xml:space="preserve">Once the corporation converts to a C corporation (or contributes its business into a new C-corporation parent as part of a reorganization), any future distribution of profit to the owners is a dividend, taxed again at the shareholder level — even though, in the case of the previously accumulated S-corporation earnings, that same money was already taxed once. There is a limited grace period under IRC § 1371(e) during which a former S corporation can still distribute its pre-conversion AAA balance tax-free, but that window is time-limited and the mechanics must be followed precisely — the safest and simplest approach is to distribute the accumulated tax-free earnings before the conversion transaction closes, rather than relying on the post-conversion grace-period rules.</w:t>
      </w:r>
    </w:p>
    <w:p>
      <w:pPr>
        <w:spacing w:after="140" w:line="276"/>
      </w:pPr>
      <w:r>
        <w:rPr>
          <w:rFonts w:ascii="Calibri" w:cs="Calibri" w:eastAsia="Calibri" w:hAnsi="Calibri"/>
          <w:sz w:val="21"/>
          <w:szCs w:val="21"/>
        </w:rPr>
        <w:t xml:space="preserve">This creates a narrow but valuable planning window in the run-up to any S-to-C conversion: identify the accumulated tax-free earnings sitting in the company, and distribute what the business does not need for working capital before the corporate structure changes underneath it.</w:t>
      </w:r>
    </w:p>
    <w:p>
      <w:pPr>
        <w:pStyle w:val="ListParagraph"/>
        <w:numPr>
          <w:ilvl w:val="0"/>
          <w:numId w:val="2"/>
        </w:numPr>
        <w:spacing w:after="60" w:line="276"/>
      </w:pPr>
      <w:r>
        <w:rPr>
          <w:rFonts w:ascii="Calibri" w:cs="Calibri" w:eastAsia="Calibri" w:hAnsi="Calibri"/>
          <w:sz w:val="21"/>
          <w:szCs w:val="21"/>
        </w:rPr>
        <w:t xml:space="preserve">This is not a reason to strip the business of cash it actually needs to operate — the point is to distribute the portion of accumulated earnings genuinely available above working-capital needs, not to create a cash-flow problem on the way into a raise.</w:t>
      </w:r>
    </w:p>
    <w:p>
      <w:pPr>
        <w:pStyle w:val="ListParagraph"/>
        <w:numPr>
          <w:ilvl w:val="0"/>
          <w:numId w:val="2"/>
        </w:numPr>
        <w:spacing w:after="60" w:line="276"/>
      </w:pPr>
      <w:r>
        <w:rPr>
          <w:rFonts w:ascii="Calibri" w:cs="Calibri" w:eastAsia="Calibri" w:hAnsi="Calibri"/>
          <w:sz w:val="21"/>
          <w:szCs w:val="21"/>
        </w:rPr>
        <w:t xml:space="preserve">Confirm the exact AAA balance (and stock basis) with a formal calculation before distributing — a distribution in excess of what is actually in the tax-free pool can itself trigger unexpected gain.</w:t>
      </w:r>
    </w:p>
    <w:p>
      <w:pPr>
        <w:pStyle w:val="ListParagraph"/>
        <w:numPr>
          <w:ilvl w:val="0"/>
          <w:numId w:val="2"/>
        </w:numPr>
        <w:spacing w:after="60" w:line="276"/>
      </w:pPr>
      <w:r>
        <w:rPr>
          <w:rFonts w:ascii="Calibri" w:cs="Calibri" w:eastAsia="Calibri" w:hAnsi="Calibri"/>
          <w:sz w:val="21"/>
          <w:szCs w:val="21"/>
        </w:rPr>
        <w:t xml:space="preserve">This is a one-time, closing-triggered decision — once the conversion happens, the opportunity to access this specific pool of money tax-free is either gone or subject to a much more limited grace-period mechanism.</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profitable S-corporation has accumulated roughly $600,000 of already-taxed, undistributed earnings, plus another $2.8 million of current-year profit, as it prepares to convert into a C-corporation structure to raise outside investment. Before the contribution to the new C-corporation parent closes, the owners distribute $2 million of that accumulated pool to themselves. Had they waited and taken the same $2 million out after the conversion instead, it would have been taxed again as a dividend — an entirely avoidable second layer of tax on money that had already been taxed once.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33. Maximizing the Qualified Business Income (QBI) Deduction Through a Wage True-Up</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  ·  Partnership / LLC  ·  Schedule C / Sole Proprietor</w:t>
      </w:r>
    </w:p>
    <w:p>
      <w:pPr>
        <w:spacing w:after="140" w:line="276"/>
      </w:pPr>
      <w:r>
        <w:rPr>
          <w:rFonts w:ascii="Calibri" w:cs="Calibri" w:eastAsia="Calibri" w:hAnsi="Calibri"/>
          <w:sz w:val="21"/>
          <w:szCs w:val="21"/>
        </w:rPr>
        <w:t xml:space="preserve">The qualified business income (QBI) deduction lets owners of many pass-through businesses deduct up to 20% of their share of business profit. Once income rises above a statutory threshold, however, the deduction is capped by a formula tied to the W-2 wages the business actually pays — meaning a business with too little wage expense can lose part of an otherwise-available deduction, even though its owners are perfectly happy to have earned more profit.</w:t>
      </w:r>
    </w:p>
    <w:p>
      <w:pPr>
        <w:pStyle w:val="Heading2"/>
        <w:spacing w:after="80" w:before="200"/>
      </w:pPr>
      <w:r>
        <w:rPr>
          <w:rFonts w:ascii="Calibri" w:cs="Calibri" w:eastAsia="Calibri" w:hAnsi="Calibri"/>
          <w:b/>
          <w:bCs/>
          <w:color w:val="2E5496"/>
          <w:sz w:val="24"/>
          <w:szCs w:val="24"/>
        </w:rPr>
        <w:t xml:space="preserve">How the Wage Limitation Works</w:t>
      </w:r>
    </w:p>
    <w:p>
      <w:pPr>
        <w:spacing w:after="140" w:line="276"/>
      </w:pPr>
      <w:r>
        <w:rPr>
          <w:rFonts w:ascii="Calibri" w:cs="Calibri" w:eastAsia="Calibri" w:hAnsi="Calibri"/>
          <w:sz w:val="21"/>
          <w:szCs w:val="21"/>
        </w:rPr>
        <w:t xml:space="preserve">For owners above the applicable taxable-income threshold (indexed annually), the QBI deduction for a given business is capped at the greater of 50% of the W-2 wages the business paid, or 25% of W-2 wages plus 2.5% of the unadjusted basis of certain business property. For most service and labor-driven businesses without large depreciable asset bases, the 50%-of-wages test is the one that matters, and it is calculated using actual W-2 wages paid by the business for the year — not profit, not distributions, and not 1099 contractor payments.</w:t>
      </w:r>
    </w:p>
    <w:p>
      <w:pPr>
        <w:spacing w:after="140" w:line="276"/>
      </w:pPr>
      <w:r>
        <w:rPr>
          <w:rFonts w:ascii="Calibri" w:cs="Calibri" w:eastAsia="Calibri" w:hAnsi="Calibri"/>
          <w:sz w:val="21"/>
          <w:szCs w:val="21"/>
        </w:rPr>
        <w:t xml:space="preserve">This creates a specific, calculable crossover: because the deduction is capped at 50% of wages, a business that increases its total W-2 wage expense by one dollar can support up to fifty additional cents of QBI deduction from that one dollar of extra wages, at a tax cost of only the added payroll tax on that dollar (since income tax on the wage itself is a wash — it simply shifts from being profit to being wages, both eventually taxed to the same owner). Where the wage base is the binding constraint, a modest, deliberate increase in wages — paid before year-end, through payroll — can unlock QBI deduction that would otherwise be permanently capped away.</w:t>
      </w:r>
    </w:p>
    <w:p>
      <w:pPr>
        <w:pStyle w:val="ListParagraph"/>
        <w:numPr>
          <w:ilvl w:val="0"/>
          <w:numId w:val="2"/>
        </w:numPr>
        <w:spacing w:after="60" w:line="276"/>
      </w:pPr>
      <w:r>
        <w:rPr>
          <w:rFonts w:ascii="Calibri" w:cs="Calibri" w:eastAsia="Calibri" w:hAnsi="Calibri"/>
          <w:sz w:val="21"/>
          <w:szCs w:val="21"/>
        </w:rPr>
        <w:t xml:space="preserve">This only matters once taxable income is above the threshold where the wage limitation applies — below that threshold, QBI is generally available up to the full 20% without regard to wages paid, so there is nothing to true up.</w:t>
      </w:r>
    </w:p>
    <w:p>
      <w:pPr>
        <w:pStyle w:val="ListParagraph"/>
        <w:numPr>
          <w:ilvl w:val="0"/>
          <w:numId w:val="2"/>
        </w:numPr>
        <w:spacing w:after="60" w:line="276"/>
      </w:pPr>
      <w:r>
        <w:rPr>
          <w:rFonts w:ascii="Calibri" w:cs="Calibri" w:eastAsia="Calibri" w:hAnsi="Calibri"/>
          <w:sz w:val="21"/>
          <w:szCs w:val="21"/>
        </w:rPr>
        <w:t xml:space="preserve">The wage increase must be paid through actual payroll, with real withholding, before year-end — not accrued, not promised, not booked as a payable.</w:t>
      </w:r>
    </w:p>
    <w:p>
      <w:pPr>
        <w:pStyle w:val="ListParagraph"/>
        <w:numPr>
          <w:ilvl w:val="0"/>
          <w:numId w:val="2"/>
        </w:numPr>
        <w:spacing w:after="60" w:line="276"/>
      </w:pPr>
      <w:r>
        <w:rPr>
          <w:rFonts w:ascii="Calibri" w:cs="Calibri" w:eastAsia="Calibri" w:hAnsi="Calibri"/>
          <w:sz w:val="21"/>
          <w:szCs w:val="21"/>
        </w:rPr>
        <w:t xml:space="preserve">Model the crossover precisely: because the benefit is a percentage of wages paid, there is a specific wage level that maximizes the combined value of the QBI deduction and the wage cost together — paying more wages than that level starts costing more in payroll tax than it unlocks in additional deduction.</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S-corporation’s current W-2 wages support only $400,000 of QBI deduction under the 50%-of-wages cap, even though the owners’ full 20% entitlement on the year’s profit would otherwise be worth considerably more. Before year-end, the business pays an additional bonus through payroll, raising total wages enough to lift the wage-based cap and capture roughly fifty cents of additional QBI deduction for every dollar of bonus paid — a net benefit after accounting for the payroll tax cost of the bonus itself.</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A wage increase made purely to help QBI also raises the wage base other calculations key off of — including the maximum contribution to certain retirement plans — so the two decisions should be modeled together, not independently, before finalizing a year-end bonus amount.</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34. Oil &amp; Gas Working Interest Deductions (Intangible Drilling Costs)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  ·  Cross-Entity / General Business</w:t>
      </w:r>
    </w:p>
    <w:p>
      <w:pPr>
        <w:spacing w:after="140" w:line="276"/>
      </w:pPr>
      <w:r>
        <w:rPr>
          <w:rFonts w:ascii="Calibri" w:cs="Calibri" w:eastAsia="Calibri" w:hAnsi="Calibri"/>
          <w:sz w:val="21"/>
          <w:szCs w:val="21"/>
        </w:rPr>
        <w:t xml:space="preserve">A direct working interest in an oil or gas drilling project offers an unusual combination: a large, immediately deductible expense category (intangible drilling costs, or IDCs) that is specifically exempted from the passive-activity loss limitations that would otherwise trap most investment losses — provided the interest is held in the right legal form.</w:t>
      </w:r>
    </w:p>
    <w:p>
      <w:pPr>
        <w:pStyle w:val="Heading2"/>
        <w:spacing w:after="80" w:before="200"/>
      </w:pPr>
      <w:r>
        <w:rPr>
          <w:rFonts w:ascii="Calibri" w:cs="Calibri" w:eastAsia="Calibri" w:hAnsi="Calibri"/>
          <w:b/>
          <w:bCs/>
          <w:color w:val="2E5496"/>
          <w:sz w:val="24"/>
          <w:szCs w:val="24"/>
        </w:rPr>
        <w:t xml:space="preserve">Why This Deduction Is Different From an Ordinary Passive Investment</w:t>
      </w:r>
    </w:p>
    <w:p>
      <w:pPr>
        <w:spacing w:after="140" w:line="276"/>
      </w:pPr>
      <w:r>
        <w:rPr>
          <w:rFonts w:ascii="Calibri" w:cs="Calibri" w:eastAsia="Calibri" w:hAnsi="Calibri"/>
          <w:sz w:val="21"/>
          <w:szCs w:val="21"/>
        </w:rPr>
        <w:t xml:space="preserve">A working interest in an oil or gas well makes the holder responsible for a share of the costs of drilling and developing the well, in exchange for a share of production. A large portion of those costs — intangible drilling costs under IRC § 263(c), covering items like labor, fuel, and drilling-related services that have no salvage value — can generally be deducted in full in the year paid, rather than capitalized and depreciated over time, producing a large first-year deduction relative to the amount invested.</w:t>
      </w:r>
    </w:p>
    <w:p>
      <w:pPr>
        <w:spacing w:after="140" w:line="276"/>
      </w:pPr>
      <w:r>
        <w:rPr>
          <w:rFonts w:ascii="Calibri" w:cs="Calibri" w:eastAsia="Calibri" w:hAnsi="Calibri"/>
          <w:sz w:val="21"/>
          <w:szCs w:val="21"/>
        </w:rPr>
        <w:t xml:space="preserve">Almost every other kind of passive investment loss is subject to the passive-activity loss rules (IRC § 469), which trap the loss against other passive income only. A working interest in an oil or gas property is specifically exempted from this limitation by IRC § 469(c)(3) — but only if it is held in a form that does not limit the holder’s personal liability for costs of operating the well. This means a working interest can offset an investor’s ordinary income — wages, business profit, anything — in a way that most other passive-style investments cannot, precisely because the investor is exposed to the operational risk of the well, not shielded from it.</w:t>
      </w:r>
    </w:p>
    <w:p>
      <w:pPr>
        <w:pStyle w:val="ListParagraph"/>
        <w:numPr>
          <w:ilvl w:val="0"/>
          <w:numId w:val="2"/>
        </w:numPr>
        <w:spacing w:after="60" w:line="276"/>
      </w:pPr>
      <w:r>
        <w:rPr>
          <w:rFonts w:ascii="Calibri" w:cs="Calibri" w:eastAsia="Calibri" w:hAnsi="Calibri"/>
          <w:sz w:val="21"/>
          <w:szCs w:val="21"/>
        </w:rPr>
        <w:t xml:space="preserve">The exemption from passive treatment is lost if the interest is held through an entity that limits liability under state law — a standard LLC membership interest, for instance, generally does not preserve the exemption; holding directly, or through a disregarded single-member entity that does not itself limit personal liability for the operations, is required to preserve it.</w:t>
      </w:r>
    </w:p>
    <w:p>
      <w:pPr>
        <w:pStyle w:val="ListParagraph"/>
        <w:numPr>
          <w:ilvl w:val="0"/>
          <w:numId w:val="2"/>
        </w:numPr>
        <w:spacing w:after="60" w:line="276"/>
      </w:pPr>
      <w:r>
        <w:rPr>
          <w:rFonts w:ascii="Calibri" w:cs="Calibri" w:eastAsia="Calibri" w:hAnsi="Calibri"/>
          <w:sz w:val="21"/>
          <w:szCs w:val="21"/>
        </w:rPr>
        <w:t xml:space="preserve">Before investing, confirm the operator’s cost breakdown (the authorization for expenditure, or AFE) separately itemizes intangible drilling costs from leasehold acquisition cost and tangible equipment cost — only the intangible portion gets the immediate deduction; the rest is capitalized and depreciated or depleted differently.</w:t>
      </w:r>
    </w:p>
    <w:p>
      <w:pPr>
        <w:pStyle w:val="ListParagraph"/>
        <w:numPr>
          <w:ilvl w:val="0"/>
          <w:numId w:val="2"/>
        </w:numPr>
        <w:spacing w:after="60" w:line="276"/>
      </w:pPr>
      <w:r>
        <w:rPr>
          <w:rFonts w:ascii="Calibri" w:cs="Calibri" w:eastAsia="Calibri" w:hAnsi="Calibri"/>
          <w:sz w:val="21"/>
          <w:szCs w:val="21"/>
        </w:rPr>
        <w:t xml:space="preserve">This is a genuine risk investment, not merely a tax shelter — real operating and drilling risk, illiquidity typically running years, and potential additional cash calls are part of holding a true working interest, and the investment should be sized to what the investor can afford to have go to zero.</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individual with roughly $1 million of W-2 income places $500,000 into a working interest in a new drilling project, held directly (not through a liability-limiting entity) to preserve the exemption from passive treatment. The operator’s AFE itemizes a large majority of the investment as intangible drilling costs. The investor deducts that portion in full in the year paid, directly offsetting the ordinary W-2 income that would otherwise be taxed at the top marginal rate — a benefit unavailable to a similarly sized investment held as a passive limited-partner interest in almost any other asset class.</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35. Avoiding the Accumulated Earnings Tax in a C-Corporation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C-Corporation</w:t>
      </w:r>
    </w:p>
    <w:p>
      <w:pPr>
        <w:spacing w:after="140" w:line="276"/>
      </w:pPr>
      <w:r>
        <w:rPr>
          <w:rFonts w:ascii="Calibri" w:cs="Calibri" w:eastAsia="Calibri" w:hAnsi="Calibri"/>
          <w:sz w:val="21"/>
          <w:szCs w:val="21"/>
        </w:rPr>
        <w:t xml:space="preserve">A C corporation is taxed once at the corporate level (currently a flat rate) and again when profit is eventually paid out to shareholders as a dividend. Deferring that second layer of tax by simply not paying dividends — keeping profit inside the corporation indefinitely — sounds attractive, but the tax code contains a specific penalty, the accumulated earnings tax, aimed directly at corporations that retain earnings beyond what their business genuinely needs, purely to help shareholders avoid dividend tax.</w:t>
      </w:r>
    </w:p>
    <w:p>
      <w:pPr>
        <w:pStyle w:val="Heading2"/>
        <w:spacing w:after="80" w:before="200"/>
      </w:pPr>
      <w:r>
        <w:rPr>
          <w:rFonts w:ascii="Calibri" w:cs="Calibri" w:eastAsia="Calibri" w:hAnsi="Calibri"/>
          <w:b/>
          <w:bCs/>
          <w:color w:val="2E5496"/>
          <w:sz w:val="24"/>
          <w:szCs w:val="24"/>
        </w:rPr>
        <w:t xml:space="preserve">What the Accumulated Earnings Tax Penalizes, and How to Stay on the Right Side of It</w:t>
      </w:r>
    </w:p>
    <w:p>
      <w:pPr>
        <w:spacing w:after="140" w:line="276"/>
      </w:pPr>
      <w:r>
        <w:rPr>
          <w:rFonts w:ascii="Calibri" w:cs="Calibri" w:eastAsia="Calibri" w:hAnsi="Calibri"/>
          <w:sz w:val="21"/>
          <w:szCs w:val="21"/>
        </w:rPr>
        <w:t xml:space="preserve">IRC § 531 imposes an additional tax, on top of the regular corporate income tax, on a corporation’s accumulated taxable income if the corporation was formed or used to avoid income tax on its shareholders by permitting earnings to accumulate instead of being distributed. The IRS bears the burden of showing this tax-avoidance purpose in most cases, but if a corporation has accumulated earnings beyond the reasonable needs of its business, the tax code presumes the avoidance purpose exists unless the corporation can show a genuine business reason for the accumulation.</w:t>
      </w:r>
    </w:p>
    <w:p>
      <w:pPr>
        <w:spacing w:after="140" w:line="276"/>
      </w:pPr>
      <w:r>
        <w:rPr>
          <w:rFonts w:ascii="Calibri" w:cs="Calibri" w:eastAsia="Calibri" w:hAnsi="Calibri"/>
          <w:sz w:val="21"/>
          <w:szCs w:val="21"/>
        </w:rPr>
        <w:t xml:space="preserve">"Reasonable needs of the business" is a real, and reasonably generous, standard — it includes working capital, funding expansion, retiring debt, funding equipment or facility purchases, and (importantly for a business that has just raised or is about to raise outside capital) building the kind of balance sheet an investor or lender would expect to see. A corporation that can point to documented, specific plans for its retained cash — board-approved budgets, expansion plans, a funded capital project — is on solid ground. A corporation with no dividend history, no articulated plan for its cash, and a pattern of the retained earnings quietly funding shareholders’ personal lifestyle through other means is the profile this tax targets.</w:t>
      </w:r>
    </w:p>
    <w:p>
      <w:pPr>
        <w:spacing w:after="140" w:line="276"/>
      </w:pPr>
      <w:r>
        <w:rPr>
          <w:rFonts w:ascii="Calibri" w:cs="Calibri" w:eastAsia="Calibri" w:hAnsi="Calibri"/>
          <w:sz w:val="21"/>
          <w:szCs w:val="21"/>
        </w:rPr>
        <w:t xml:space="preserve">The practical defense is documentation, contemporaneous and specific: board minutes and written budgets that tie the corporation’s retained cash to an actual, articulated business purpose, adopted and maintained as a matter of routine governance — not produced after the fact in response to an IRS inquiry.</w:t>
      </w:r>
    </w:p>
    <w:p>
      <w:pPr>
        <w:pStyle w:val="ListParagraph"/>
        <w:numPr>
          <w:ilvl w:val="0"/>
          <w:numId w:val="2"/>
        </w:numPr>
        <w:spacing w:after="60" w:line="276"/>
      </w:pPr>
      <w:r>
        <w:rPr>
          <w:rFonts w:ascii="Calibri" w:cs="Calibri" w:eastAsia="Calibri" w:hAnsi="Calibri"/>
          <w:sz w:val="21"/>
          <w:szCs w:val="21"/>
        </w:rPr>
        <w:t xml:space="preserve">A written, board-adopted no-dividend or measured-dividend policy, paired with documented reinvestment plans, is a stronger defense than simply never discussing dividends at all.</w:t>
      </w:r>
    </w:p>
    <w:p>
      <w:pPr>
        <w:pStyle w:val="ListParagraph"/>
        <w:numPr>
          <w:ilvl w:val="0"/>
          <w:numId w:val="2"/>
        </w:numPr>
        <w:spacing w:after="60" w:line="276"/>
      </w:pPr>
      <w:r>
        <w:rPr>
          <w:rFonts w:ascii="Calibri" w:cs="Calibri" w:eastAsia="Calibri" w:hAnsi="Calibri"/>
          <w:sz w:val="21"/>
          <w:szCs w:val="21"/>
        </w:rPr>
        <w:t xml:space="preserve">Keep shareholder compensation (salary) at a level a compensation study would support for the role — paying shareholders too little in salary while the corporation accumulates large amounts of cash strengthens, rather than weakens, the case that the accumulation is there to avoid dividend tax on the shareholders’ behalf.</w:t>
      </w:r>
    </w:p>
    <w:p>
      <w:pPr>
        <w:pStyle w:val="ListParagraph"/>
        <w:numPr>
          <w:ilvl w:val="0"/>
          <w:numId w:val="2"/>
        </w:numPr>
        <w:spacing w:after="60" w:line="276"/>
      </w:pPr>
      <w:r>
        <w:rPr>
          <w:rFonts w:ascii="Calibri" w:cs="Calibri" w:eastAsia="Calibri" w:hAnsi="Calibri"/>
          <w:sz w:val="21"/>
          <w:szCs w:val="21"/>
        </w:rPr>
        <w:t xml:space="preserve">A corporation actively raising or having recently raised outside investment capital has an unusually strong, easily documented business reason for retaining earnings — the raise itself, and the growth plans behind it, are direct evidence of a genuine business need for the cash.</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C-corporation retains $3,000,000 of after-tax profit over several years, paying no dividends, with no board-adopted plan for the cash and no documented reinvestment budget — the money simply accumulates in a money-market account while the shareholders draw modest salaries and otherwise fund their personal lifestyles through other, unrelated means. On examination, the IRS asserts the accumulated earnings tax: a flat 20% tax on accumulated taxable income beyond what the business can show it reasonably needed, which on an unexplained $3,000,000 accumulation is a $600,000 tax bill on top of the regular corporate tax already paid — with no dividend having ever actually been paid to anyone. Contrast this with a second, otherwise-identical corporation that retains the same $3,000,000, but whose board minutes each quarter document a specific, budgeted expansion plan (a new facility, a funded equipment purchase, working capital tied to a documented growth forecast) and whose shareholders are paid salaries a market compensation study supports. That corporation has a real, contemporaneously documented business reason for the accumulation and a strong defense against the same $600,000 tax — the difference between the two companies is not how much cash they kept, but whether they wrote down, as they went, why they kept it.</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36. Specific Lot Identification and Holding-Period Timing for Active Investors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w:t>
      </w:r>
    </w:p>
    <w:p>
      <w:pPr>
        <w:spacing w:after="140" w:line="276"/>
      </w:pPr>
      <w:r>
        <w:rPr>
          <w:rFonts w:ascii="Calibri" w:cs="Calibri" w:eastAsia="Calibri" w:hAnsi="Calibri"/>
          <w:sz w:val="21"/>
          <w:szCs w:val="21"/>
        </w:rPr>
        <w:t xml:space="preserve">The tax code treats an investment gain very differently depending on how long it was held: a position sold after being held more than one year is taxed at preferential long-term capital gains rates, while a position sold after a year or less is taxed as ordinary income at rates that can be nearly double. An active investor who trades frequently, without deliberately managing which specific shares are sold and when, routinely leaves a large and entirely avoidable amount on the table.</w:t>
      </w:r>
    </w:p>
    <w:p>
      <w:pPr>
        <w:pStyle w:val="Heading2"/>
        <w:spacing w:after="80" w:before="200"/>
      </w:pPr>
      <w:r>
        <w:rPr>
          <w:rFonts w:ascii="Calibri" w:cs="Calibri" w:eastAsia="Calibri" w:hAnsi="Calibri"/>
          <w:b/>
          <w:bCs/>
          <w:color w:val="2E5496"/>
          <w:sz w:val="24"/>
          <w:szCs w:val="24"/>
        </w:rPr>
        <w:t xml:space="preserve">Two Related but Distinct Levers: Which Lot, and When</w:t>
      </w:r>
    </w:p>
    <w:p>
      <w:pPr>
        <w:spacing w:after="140" w:line="276"/>
      </w:pPr>
      <w:r>
        <w:rPr>
          <w:rFonts w:ascii="Calibri" w:cs="Calibri" w:eastAsia="Calibri" w:hAnsi="Calibri"/>
          <w:sz w:val="21"/>
          <w:szCs w:val="21"/>
        </w:rPr>
        <w:t xml:space="preserve">When an investor has purchased the same security at different times and different prices, each purchase is a distinct "lot" with its own holding period and cost basis. By default, many brokerages sell the earliest-purchased lot first (FIFO), but an investor can instead specifically identify which lot to sell at the time of the trade — choosing, for example, to sell a lot that has been held more than a year (to get long-term treatment) rather than a more recently purchased lot in the same security that would produce a short-term gain, or choosing to sell a high-basis lot to minimize the gain recognized versus a low-basis lot that would maximize it.</w:t>
      </w:r>
    </w:p>
    <w:p>
      <w:pPr>
        <w:spacing w:after="140" w:line="276"/>
      </w:pPr>
      <w:r>
        <w:rPr>
          <w:rFonts w:ascii="Calibri" w:cs="Calibri" w:eastAsia="Calibri" w:hAnsi="Calibri"/>
          <w:sz w:val="21"/>
          <w:szCs w:val="21"/>
        </w:rPr>
        <w:t xml:space="preserve">Separately from lot selection, an investor with a position they intend to sell soon has real discretion over exactly when to sell it. Selling a winning position one day before the one-year holding period is complete, versus waiting one additional day to cross into long-term treatment, can be worth many percentage points of tax rate on the entire gain — a difference easily worth deliberately waiting for when the underlying investment thesis does not require selling immediately.</w:t>
      </w:r>
    </w:p>
    <w:p>
      <w:pPr>
        <w:spacing w:after="140" w:line="276"/>
      </w:pPr>
      <w:r>
        <w:rPr>
          <w:rFonts w:ascii="Calibri" w:cs="Calibri" w:eastAsia="Calibri" w:hAnsi="Calibri"/>
          <w:sz w:val="21"/>
          <w:szCs w:val="21"/>
        </w:rPr>
        <w:t xml:space="preserve">A trading pattern that ignores both levers — selling whatever lot the brokerage defaults to, and selling based purely on when the thesis says to sell rather than also checking the holding-period calendar — routinely converts what could have been long-term gain into short-term ordinary income, for no reason other than not checking a date.</w:t>
      </w:r>
    </w:p>
    <w:p>
      <w:pPr>
        <w:pStyle w:val="ListParagraph"/>
        <w:numPr>
          <w:ilvl w:val="0"/>
          <w:numId w:val="2"/>
        </w:numPr>
        <w:spacing w:after="60" w:line="276"/>
      </w:pPr>
      <w:r>
        <w:rPr>
          <w:rFonts w:ascii="Calibri" w:cs="Calibri" w:eastAsia="Calibri" w:hAnsi="Calibri"/>
          <w:sz w:val="21"/>
          <w:szCs w:val="21"/>
        </w:rPr>
        <w:t xml:space="preserve">Before placing a sell order in a brokerage account, check whether specific-lot identification is enabled and select it explicitly for each trade, rather than accepting the account’s default lot-selection method.</w:t>
      </w:r>
    </w:p>
    <w:p>
      <w:pPr>
        <w:pStyle w:val="ListParagraph"/>
        <w:numPr>
          <w:ilvl w:val="0"/>
          <w:numId w:val="2"/>
        </w:numPr>
        <w:spacing w:after="60" w:line="276"/>
      </w:pPr>
      <w:r>
        <w:rPr>
          <w:rFonts w:ascii="Calibri" w:cs="Calibri" w:eastAsia="Calibri" w:hAnsi="Calibri"/>
          <w:sz w:val="21"/>
          <w:szCs w:val="21"/>
        </w:rPr>
        <w:t xml:space="preserve">Before selling a winning position, check the exact purchase date of the lot being sold — if the one-year mark is only days away and there is no urgent reason to sell immediately, waiting to cross it can be worth substantially more than the market risk of the extra few days.</w:t>
      </w:r>
    </w:p>
    <w:p>
      <w:pPr>
        <w:pStyle w:val="ListParagraph"/>
        <w:numPr>
          <w:ilvl w:val="0"/>
          <w:numId w:val="2"/>
        </w:numPr>
        <w:spacing w:after="60" w:line="276"/>
      </w:pPr>
      <w:r>
        <w:rPr>
          <w:rFonts w:ascii="Calibri" w:cs="Calibri" w:eastAsia="Calibri" w:hAnsi="Calibri"/>
          <w:sz w:val="21"/>
          <w:szCs w:val="21"/>
        </w:rPr>
        <w:t xml:space="preserve">The wash-sale rule (IRC § 1091) disallows a loss if a substantially identical security is repurchased within 30 days before or after the sale — this applies to losses, not gains, so it constrains loss-harvesting trades but not the lot-selection and holding-period timing described here for gains.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active trader has purchased shares of the same stock at several different times over the past two years. Needing to raise cash, he sells shares without specifying a lot, and the brokerage’s default method sells his most recently purchased, short-term lot — generating a large short-term gain taxed at his top ordinary rate. Had he instead specifically identified and sold his oldest lot, held for over a year, the identical dollar amount of gain would have qualified for the long-term capital gains rate instead — a difference of many percentage points on the same trade, avoidable simply by selecting the lot deliberately at the time of sale.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37. Gifting Minority Business Interests Before a Priced Funding Round</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Charitable &amp; Estate</w:t>
      </w:r>
    </w:p>
    <w:p>
      <w:pPr>
        <w:spacing w:after="140" w:line="276"/>
      </w:pPr>
      <w:r>
        <w:rPr>
          <w:rFonts w:ascii="Calibri" w:cs="Calibri" w:eastAsia="Calibri" w:hAnsi="Calibri"/>
          <w:sz w:val="21"/>
          <w:szCs w:val="21"/>
        </w:rPr>
        <w:t xml:space="preserve">When a privately held business is about to raise outside investment at a formal valuation — a "priced round" — that valuation event is also the moment the business’s worth becomes concrete and, often, dramatically higher than it was previously. Gifting a minority interest in the business to family members (or a trust for their benefit) before that valuation locks in moves all of the appreciation that happens afterward out of the giver’s estate entirely, using a valuation that will only get more expensive to use as time passes.</w:t>
      </w:r>
    </w:p>
    <w:p>
      <w:pPr>
        <w:pStyle w:val="Heading2"/>
        <w:spacing w:after="80" w:before="200"/>
      </w:pPr>
      <w:r>
        <w:rPr>
          <w:rFonts w:ascii="Calibri" w:cs="Calibri" w:eastAsia="Calibri" w:hAnsi="Calibri"/>
          <w:b/>
          <w:bCs/>
          <w:color w:val="2E5496"/>
          <w:sz w:val="24"/>
          <w:szCs w:val="24"/>
        </w:rPr>
        <w:t xml:space="preserve">Why Timing Around the Valuation Event Matters So Much</w:t>
      </w:r>
    </w:p>
    <w:p>
      <w:pPr>
        <w:spacing w:after="140" w:line="276"/>
      </w:pPr>
      <w:r>
        <w:rPr>
          <w:rFonts w:ascii="Calibri" w:cs="Calibri" w:eastAsia="Calibri" w:hAnsi="Calibri"/>
          <w:sz w:val="21"/>
          <w:szCs w:val="21"/>
        </w:rPr>
        <w:t xml:space="preserve">A gift of a business interest is valued, for gift-tax purposes, at its fair market value on the date of the gift. Before an outside investor has priced the company, a minority, illiquid interest in a private business is often valued conservatively — reflecting genuine uncertainty about the business’s future, its lack of a ready market, and (for a minority stake specifically) the fact that a minority holder cannot control the company’s decisions, all of which support a lower appraised value than the business might command once an outside investor has just paid a specific price for a stake in it.</w:t>
      </w:r>
    </w:p>
    <w:p>
      <w:pPr>
        <w:spacing w:after="140" w:line="276"/>
      </w:pPr>
      <w:r>
        <w:rPr>
          <w:rFonts w:ascii="Calibri" w:cs="Calibri" w:eastAsia="Calibri" w:hAnsi="Calibri"/>
          <w:sz w:val="21"/>
          <w:szCs w:val="21"/>
        </w:rPr>
        <w:t xml:space="preserve">Once a funding round prices the company, that valuation becomes a matter of public or semi-public record (at minimum, known to the parties and their advisors), and any later gift of an interest in the business will be measured against that higher benchmark. Gifting before the round closes — using the same professional appraisal process the financing itself requires anyway — captures the business at its lower pre-money value for gift-tax purposes, and every dollar of appreciation from that point forward (including the entire bump from the round itself, and everything that follows) accrues outside the giver’s estate, in the hands of whoever received the gift.</w:t>
      </w:r>
    </w:p>
    <w:p>
      <w:pPr>
        <w:spacing w:after="140" w:line="276"/>
      </w:pPr>
      <w:r>
        <w:rPr>
          <w:rFonts w:ascii="Calibri" w:cs="Calibri" w:eastAsia="Calibri" w:hAnsi="Calibri"/>
          <w:sz w:val="21"/>
          <w:szCs w:val="21"/>
        </w:rPr>
        <w:t xml:space="preserve">This is estate planning, not income-tax planning: the benefit is measured in eventual estate-tax exposure avoided (particularly relevant in a state with its own estate tax and a lower exemption threshold than the federal exemption, or for an estate large enough to eventually exceed the federal exemption), not in a current-year income tax deduction.</w:t>
      </w:r>
    </w:p>
    <w:p>
      <w:pPr>
        <w:pStyle w:val="ListParagraph"/>
        <w:numPr>
          <w:ilvl w:val="0"/>
          <w:numId w:val="2"/>
        </w:numPr>
        <w:spacing w:after="60" w:line="276"/>
      </w:pPr>
      <w:r>
        <w:rPr>
          <w:rFonts w:ascii="Calibri" w:cs="Calibri" w:eastAsia="Calibri" w:hAnsi="Calibri"/>
          <w:sz w:val="21"/>
          <w:szCs w:val="21"/>
        </w:rPr>
        <w:t xml:space="preserve">A gift of a business interest above the annual per-recipient gift-tax exclusion uses up part of the giver’s lifetime gift-and-estate-tax exemption (or, once that lifetime exemption is exhausted, is directly taxable) — it is not automatically tax-free, but using lifetime exemption against a low, pre-round valuation is generally far more efficient than using the same exemption later against a much higher, post-round value.</w:t>
      </w:r>
    </w:p>
    <w:p>
      <w:pPr>
        <w:pStyle w:val="ListParagraph"/>
        <w:numPr>
          <w:ilvl w:val="0"/>
          <w:numId w:val="2"/>
        </w:numPr>
        <w:spacing w:after="60" w:line="276"/>
      </w:pPr>
      <w:r>
        <w:rPr>
          <w:rFonts w:ascii="Calibri" w:cs="Calibri" w:eastAsia="Calibri" w:hAnsi="Calibri"/>
          <w:sz w:val="21"/>
          <w:szCs w:val="21"/>
        </w:rPr>
        <w:t xml:space="preserve">Obtain a professional, independent appraisal to support the gifted value — this is typically needed for the financing round itself, making the incremental cost of using it to also support the gift relatively small.</w:t>
      </w:r>
    </w:p>
    <w:p>
      <w:pPr>
        <w:pStyle w:val="ListParagraph"/>
        <w:numPr>
          <w:ilvl w:val="0"/>
          <w:numId w:val="2"/>
        </w:numPr>
        <w:spacing w:after="60" w:line="276"/>
      </w:pPr>
      <w:r>
        <w:rPr>
          <w:rFonts w:ascii="Calibri" w:cs="Calibri" w:eastAsia="Calibri" w:hAnsi="Calibri"/>
          <w:sz w:val="21"/>
          <w:szCs w:val="21"/>
        </w:rPr>
        <w:t xml:space="preserve">This must genuinely happen before the round prices — a gift made after the valuation is set, or timed suspiciously close to a round that was already substantially negotiated, invites the IRS to challenge the claimed lower value as not reflecting reality at the time of the gift.</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married couple owns all of a private company that is in the process of raising a $15 million round at a valuation that will value their combined stake in the tens of millions. Before the round’s term sheet is finalized and the pricing set, they gift a small minority interest in the company to a trust for their children, using a professional appraisal that reflects the company’s pre-round, illiquid, minority-discounted value — a small fraction of what the same percentage interest would be worth once the round closes. All of the appreciation in that gifted interest from that point forward, including the immediate step-up from the round itself, accrues to the trust and is permanently outside the couple’s taxable estate.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38. Depreciating Foreign Rental Real Estate Under the Alternative Depreciation System</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Real Estate</w:t>
      </w:r>
    </w:p>
    <w:p>
      <w:pPr>
        <w:spacing w:after="140" w:line="276"/>
      </w:pPr>
      <w:r>
        <w:rPr>
          <w:rFonts w:ascii="Calibri" w:cs="Calibri" w:eastAsia="Calibri" w:hAnsi="Calibri"/>
          <w:sz w:val="21"/>
          <w:szCs w:val="21"/>
        </w:rPr>
        <w:t xml:space="preserve">A taxpayer who owns residential rental property located outside the United States is still required to report the rental income and can still depreciate the property — but under a specific, less favorable set of rules than a comparable U.S. property would use, and against a smaller set of available deferral and exchange options if the property is ever sold.</w:t>
      </w:r>
    </w:p>
    <w:p>
      <w:pPr>
        <w:pStyle w:val="Heading2"/>
        <w:spacing w:after="80" w:before="200"/>
      </w:pPr>
      <w:r>
        <w:rPr>
          <w:rFonts w:ascii="Calibri" w:cs="Calibri" w:eastAsia="Calibri" w:hAnsi="Calibri"/>
          <w:b/>
          <w:bCs/>
          <w:color w:val="2E5496"/>
          <w:sz w:val="24"/>
          <w:szCs w:val="24"/>
        </w:rPr>
        <w:t xml:space="preserve">How Depreciation and Sale Rules Differ for Foreign Property</w:t>
      </w:r>
    </w:p>
    <w:p>
      <w:pPr>
        <w:spacing w:after="140" w:line="276"/>
      </w:pPr>
      <w:r>
        <w:rPr>
          <w:rFonts w:ascii="Calibri" w:cs="Calibri" w:eastAsia="Calibri" w:hAnsi="Calibri"/>
          <w:sz w:val="21"/>
          <w:szCs w:val="21"/>
        </w:rPr>
        <w:t xml:space="preserve">A U.S.-located residential rental property is normally depreciated over 27.5 years, and can qualify for accelerated depreciation methods and bonus depreciation on certain components identified through a cost segregation study. Foreign-use residential rental property, by contrast, is required under IRC § 168(g)(1)(A) to use the Alternative Depreciation System (ADS) — a straight-line method over a longer recovery period (30 years for residential rental property), with no bonus depreciation available. The deduction is real and still valuable, but it is spread more slowly and produces a smaller first-year benefit than the same dollar amount invested in comparable U.S. property would.</w:t>
      </w:r>
    </w:p>
    <w:p>
      <w:pPr>
        <w:spacing w:after="140" w:line="276"/>
      </w:pPr>
      <w:r>
        <w:rPr>
          <w:rFonts w:ascii="Calibri" w:cs="Calibri" w:eastAsia="Calibri" w:hAnsi="Calibri"/>
          <w:sz w:val="21"/>
          <w:szCs w:val="21"/>
        </w:rPr>
        <w:t xml:space="preserve">A foreign property owner should also be aware that IRC § 1031(h) specifically excludes foreign real property from being treated as "like-kind" to U.S. real property for purposes of a tax-deferred exchange — meaning the like-kind exchange deferral strategy commonly used to defer gain on the sale of U.S. investment real estate is simply unavailable when the property being sold (or the property being acquired) is located outside the United States. A foreign property must generally be sold in a fully taxable transaction, and any planning to reduce the tax on that sale (loss harvesting elsewhere, timing the sale into a lower-income year, etc.) needs to work through other levers instead.</w:t>
      </w:r>
    </w:p>
    <w:p>
      <w:pPr>
        <w:spacing w:after="140" w:line="276"/>
      </w:pPr>
      <w:r>
        <w:rPr>
          <w:rFonts w:ascii="Calibri" w:cs="Calibri" w:eastAsia="Calibri" w:hAnsi="Calibri"/>
          <w:sz w:val="21"/>
          <w:szCs w:val="21"/>
        </w:rPr>
        <w:t xml:space="preserve">Foreign rental activity also raises reporting questions distinct from the property itself: while directly holding foreign real estate does not, by itself, trigger the foreign-financial-account reporting regimes (FBAR and Form 8938), a foreign bank account that receives the rental income generally does — and that reporting obligation is easy to overlook when the focus is on the property and the rental income rather than on the account the rent lands in.</w:t>
      </w:r>
    </w:p>
    <w:p>
      <w:pPr>
        <w:pStyle w:val="ListParagraph"/>
        <w:numPr>
          <w:ilvl w:val="0"/>
          <w:numId w:val="2"/>
        </w:numPr>
        <w:spacing w:after="60" w:line="276"/>
      </w:pPr>
      <w:r>
        <w:rPr>
          <w:rFonts w:ascii="Calibri" w:cs="Calibri" w:eastAsia="Calibri" w:hAnsi="Calibri"/>
          <w:sz w:val="21"/>
          <w:szCs w:val="21"/>
        </w:rPr>
        <w:t xml:space="preserve">A stay-length test can still apply the same way it would domestically: a foreign property rented in short-term stints (commonly, an average stay of seven days or less) can potentially qualify for the same non-passive treatment available to a domestic short-term rental (see the short-term rental strategy above) — the ADS depreciation requirement and the passive-activity classification are separate, independent questions.</w:t>
      </w:r>
    </w:p>
    <w:p>
      <w:pPr>
        <w:pStyle w:val="ListParagraph"/>
        <w:numPr>
          <w:ilvl w:val="0"/>
          <w:numId w:val="2"/>
        </w:numPr>
        <w:spacing w:after="60" w:line="276"/>
      </w:pPr>
      <w:r>
        <w:rPr>
          <w:rFonts w:ascii="Calibri" w:cs="Calibri" w:eastAsia="Calibri" w:hAnsi="Calibri"/>
          <w:sz w:val="21"/>
          <w:szCs w:val="21"/>
        </w:rPr>
        <w:t xml:space="preserve">Confirm whether a foreign bank account receiving the rental proceeds crosses the reporting thresholds for FBAR (FinCEN Form 114) and Form 8938, and file both if required — these are separate filings with separate, substantial penalties for a missed filing.</w:t>
      </w:r>
    </w:p>
    <w:p>
      <w:pPr>
        <w:pStyle w:val="ListParagraph"/>
        <w:numPr>
          <w:ilvl w:val="0"/>
          <w:numId w:val="2"/>
        </w:numPr>
        <w:spacing w:after="60" w:line="276"/>
      </w:pPr>
      <w:r>
        <w:rPr>
          <w:rFonts w:ascii="Calibri" w:cs="Calibri" w:eastAsia="Calibri" w:hAnsi="Calibri"/>
          <w:sz w:val="21"/>
          <w:szCs w:val="21"/>
        </w:rPr>
        <w:t xml:space="preserve">Because ADS depreciation is mandatory (not elective) for foreign-use property, there is no planning choice to make about the depreciation method itself — the planning value here is simply making sure the correct, mandatory method is actually being used, rather than mistakenly applying domestic depreciation rules or, worse, never depreciating the property at all.</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individual owns a $500,000 vacation rental property abroad (excluding land value of $100,000, leaving $400,000 of depreciable basis) that has never been reported on a U.S. return despite years of rental activity. Brought current, the property must be depreciated under ADS: straight-line over 30 years, or $13,333 per year, with no bonus depreciation and no cost-segregation acceleration available. A comparable $400,000 U.S. property, by contrast, would depreciate over 27.5 years ($14,545 per year) and could additionally use cost segregation to pull 20-30% of that basis into 5-, 7-, or 15-year bonus-eligible components — potentially generating $80,000-$120,000 of accelerated first-year deduction that simply is not available for the foreign property under any circumstances. When the owner later sells the foreign property for a $300,000 gain, no like-kind exchange deferral is available either (§ 1031(h) specifically excludes foreign real property), so the full $300,000 is taxable in the year of sale — planning instead has to rely on other levers, such as timing the sale into a year with an offsetting capital loss.</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39. Timing a Nonqualified Deferred Compensation (§409A) Distribution Election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w:t>
      </w:r>
    </w:p>
    <w:p>
      <w:pPr>
        <w:spacing w:after="140" w:line="276"/>
      </w:pPr>
      <w:r>
        <w:rPr>
          <w:rFonts w:ascii="Calibri" w:cs="Calibri" w:eastAsia="Calibri" w:hAnsi="Calibri"/>
          <w:sz w:val="21"/>
          <w:szCs w:val="21"/>
        </w:rPr>
        <w:t xml:space="preserve">Nonqualified deferred compensation (NQDC) — income an employee earned but agreed to have paid out in a later year, outside of a qualified retirement plan — is governed by strict, unforgiving timing rules under IRC § 409A. An employee who has flexibility over when a deferred payout occurs (or who still has time to change that timing under the plan’s rules) can potentially shift a large amount of income into whichever future year carries the lower marginal tax rate — but the window to make that change closes well before the payment date itself.</w:t>
      </w:r>
    </w:p>
    <w:p>
      <w:pPr>
        <w:pStyle w:val="Heading2"/>
        <w:spacing w:after="80" w:before="200"/>
      </w:pPr>
      <w:r>
        <w:rPr>
          <w:rFonts w:ascii="Calibri" w:cs="Calibri" w:eastAsia="Calibri" w:hAnsi="Calibri"/>
          <w:b/>
          <w:bCs/>
          <w:color w:val="2E5496"/>
          <w:sz w:val="24"/>
          <w:szCs w:val="24"/>
        </w:rPr>
        <w:t xml:space="preserve">Why NQDC Timing Is Locked Down So Tightly, and Where Flexibility Still Exists</w:t>
      </w:r>
    </w:p>
    <w:p>
      <w:pPr>
        <w:spacing w:after="140" w:line="276"/>
      </w:pPr>
      <w:r>
        <w:rPr>
          <w:rFonts w:ascii="Calibri" w:cs="Calibri" w:eastAsia="Calibri" w:hAnsi="Calibri"/>
          <w:sz w:val="21"/>
          <w:szCs w:val="21"/>
        </w:rPr>
        <w:t xml:space="preserve">IRC § 409A was enacted specifically to prevent executives from having open-ended discretion over when deferred compensation gets paid to them (which could otherwise be used to dodge tax by simply "deciding" to receive income in a low-tax year after the fact). As a result, the timing of a distribution is generally fixed at the time the original deferral election was made, years earlier, and is enforced through severe penalties (immediate income inclusion of the entire deferred amount, plus a 20% additional tax) if the rules are violated.</w:t>
      </w:r>
    </w:p>
    <w:p>
      <w:pPr>
        <w:spacing w:after="140" w:line="276"/>
      </w:pPr>
      <w:r>
        <w:rPr>
          <w:rFonts w:ascii="Calibri" w:cs="Calibri" w:eastAsia="Calibri" w:hAnsi="Calibri"/>
          <w:sz w:val="21"/>
          <w:szCs w:val="21"/>
        </w:rPr>
        <w:t xml:space="preserve">Despite this rigidity, the regulations do permit a distribution to be re-timed under narrow conditions: a subsequent deferral election generally must be made at least twelve months before the originally scheduled payment date, cannot take effect until at least twelve months after the election is made, and must push the new payment date out by at least five years from the original date (Treas. Reg. § 1.409A-3). This gives a genuine but narrow planning window: an employee who realizes, more than a year in advance, that a scheduled NQDC payment will land in what looks like a high-tax year can potentially elect to push it further out, to a year that may turn out to have a lower marginal rate — but only if the twelve-month advance election deadline has not already passed, and only by push out of at least five years.</w:t>
      </w:r>
    </w:p>
    <w:p>
      <w:pPr>
        <w:spacing w:after="140" w:line="276"/>
      </w:pPr>
      <w:r>
        <w:rPr>
          <w:rFonts w:ascii="Calibri" w:cs="Calibri" w:eastAsia="Calibri" w:hAnsi="Calibri"/>
          <w:sz w:val="21"/>
          <w:szCs w:val="21"/>
        </w:rPr>
        <w:t xml:space="preserve">Whether any of this flexibility exists at all for a given payment depends entirely on the specific plan document and the type of triggering event — a payment tied to a fixed date on the calendar generally allows this subsequent-election mechanism; a payment triggered by separation from service is subject to different, more restrictive rules (including, for many executives, a mandatory six-month delay after separation under § 409A(a)(2)(B)(i)) and may not permit re-election at all.</w:t>
      </w:r>
    </w:p>
    <w:p>
      <w:pPr>
        <w:pStyle w:val="ListParagraph"/>
        <w:numPr>
          <w:ilvl w:val="0"/>
          <w:numId w:val="2"/>
        </w:numPr>
        <w:spacing w:after="60" w:line="276"/>
      </w:pPr>
      <w:r>
        <w:rPr>
          <w:rFonts w:ascii="Calibri" w:cs="Calibri" w:eastAsia="Calibri" w:hAnsi="Calibri"/>
          <w:sz w:val="21"/>
          <w:szCs w:val="21"/>
        </w:rPr>
        <w:t xml:space="preserve">Get the actual plan document reviewed by someone who can confirm exactly how the specific payment in question is triggered and whether a subsequent-election window is even available — the general rule above has real exceptions plan-by-plan.</w:t>
      </w:r>
    </w:p>
    <w:p>
      <w:pPr>
        <w:pStyle w:val="ListParagraph"/>
        <w:numPr>
          <w:ilvl w:val="0"/>
          <w:numId w:val="2"/>
        </w:numPr>
        <w:spacing w:after="60" w:line="276"/>
      </w:pPr>
      <w:r>
        <w:rPr>
          <w:rFonts w:ascii="Calibri" w:cs="Calibri" w:eastAsia="Calibri" w:hAnsi="Calibri"/>
          <w:sz w:val="21"/>
          <w:szCs w:val="21"/>
        </w:rPr>
        <w:t xml:space="preserve">The twelve-month advance-notice deadline is a hard cutoff, not a guideline — if a scheduled payment is less than twelve months away, this lever is generally no longer available for that payment, no matter how much sense a shift would otherwise make.</w:t>
      </w:r>
    </w:p>
    <w:p>
      <w:pPr>
        <w:pStyle w:val="ListParagraph"/>
        <w:numPr>
          <w:ilvl w:val="0"/>
          <w:numId w:val="2"/>
        </w:numPr>
        <w:spacing w:after="60" w:line="276"/>
      </w:pPr>
      <w:r>
        <w:rPr>
          <w:rFonts w:ascii="Calibri" w:cs="Calibri" w:eastAsia="Calibri" w:hAnsi="Calibri"/>
          <w:sz w:val="21"/>
          <w:szCs w:val="21"/>
        </w:rPr>
        <w:t xml:space="preserve">Model the actual expected tax rate in the candidate years before committing to a five-year push-out — a push-out is itself a long commitment, and the point is to land the income in a genuinely lower-rate year, not simply to defer for its own sake.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executive has a $250,000 nonqualified deferred compensation payment scheduled for January of next year, a year in which she expects unusually high total income and a peak marginal tax rate. More than twelve months before that scheduled date, she reviews her plan document, confirms a subsequent deferral election is permitted for this payment type, and elects to push the distribution out five years to a year in which she expects meaningfully lower income (for instance, after leaving a high-paying role for an equity-heavy startup position). The same $250,000 is taxed years later at a materially lower marginal rate, solely because the election was made well within the required advance window.</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40. Establishing a Pre-Revenue Activity as a Legitimate Trade or Business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Schedule C / Sole Proprietor</w:t>
      </w:r>
    </w:p>
    <w:p>
      <w:pPr>
        <w:spacing w:after="140" w:line="276"/>
      </w:pPr>
      <w:r>
        <w:rPr>
          <w:rFonts w:ascii="Calibri" w:cs="Calibri" w:eastAsia="Calibri" w:hAnsi="Calibri"/>
          <w:sz w:val="21"/>
          <w:szCs w:val="21"/>
        </w:rPr>
        <w:t xml:space="preserve">An activity that has not yet generated meaningful revenue — a passion project turned side business, a long-gestating creative or agricultural venture — can still be a legitimate deductible trade or business under the tax code, even while it operates at a loss, as long as it is conducted with a genuine intent to make a profit. The mistake many taxpayers (and even some advisors) make is assuming that because a venture “isn’t making money yet,” it isn’t worth the effort of proper accounting — when in fact getting the accounting right from the start is exactly what protects the losses and preserves the deductions the venture is entitled to.</w:t>
      </w:r>
    </w:p>
    <w:p>
      <w:pPr>
        <w:pStyle w:val="Heading2"/>
        <w:spacing w:after="80" w:before="200"/>
      </w:pPr>
      <w:r>
        <w:rPr>
          <w:rFonts w:ascii="Calibri" w:cs="Calibri" w:eastAsia="Calibri" w:hAnsi="Calibri"/>
          <w:b/>
          <w:bCs/>
          <w:color w:val="2E5496"/>
          <w:sz w:val="24"/>
          <w:szCs w:val="24"/>
        </w:rPr>
        <w:t xml:space="preserve">Profit Motive, Not Actual Profit, Is the Legal Test</w:t>
      </w:r>
    </w:p>
    <w:p>
      <w:pPr>
        <w:spacing w:after="140" w:line="276"/>
      </w:pPr>
      <w:r>
        <w:rPr>
          <w:rFonts w:ascii="Calibri" w:cs="Calibri" w:eastAsia="Calibri" w:hAnsi="Calibri"/>
          <w:sz w:val="21"/>
          <w:szCs w:val="21"/>
        </w:rPr>
        <w:t xml:space="preserve">IRC § 183 disallows deductions for an activity "not engaged in for profit" — commonly called the hobby-loss rule — but the test is whether the taxpayer has a genuine intention and reasonable expectation of eventually making a profit, not whether the activity has actually turned a profit yet. Courts and the IRS look at factors like whether the activity is conducted in a businesslike manner (separate books and bank accounts, a business plan, efforts to improve profitability), the taxpayer’s expertise and effort, the history of income or losses in the activity, and whether any occasional profit years occurred — no single factor is decisive, and a pre-revenue venture can pass this test if it is run with genuine business discipline even while showing years of losses.</w:t>
      </w:r>
    </w:p>
    <w:p>
      <w:pPr>
        <w:spacing w:after="140" w:line="276"/>
      </w:pPr>
      <w:r>
        <w:rPr>
          <w:rFonts w:ascii="Calibri" w:cs="Calibri" w:eastAsia="Calibri" w:hAnsi="Calibri"/>
          <w:sz w:val="21"/>
          <w:szCs w:val="21"/>
        </w:rPr>
        <w:t xml:space="preserve">A venture that is a legitimate trade or business is entitled to deduct its ordinary and necessary expenses under IRC § 162, the same as any other business — including expenses incurred well before any revenue arrives, as long as the activity has actually begun (as opposed to still being in a pre-formation "startup cost" phase, which has its own separate, more limited set of rules for capitalizing and amortizing initial costs).</w:t>
      </w:r>
    </w:p>
    <w:p>
      <w:pPr>
        <w:spacing w:after="140" w:line="276"/>
      </w:pPr>
      <w:r>
        <w:rPr>
          <w:rFonts w:ascii="Calibri" w:cs="Calibri" w:eastAsia="Calibri" w:hAnsi="Calibri"/>
          <w:sz w:val="21"/>
          <w:szCs w:val="21"/>
        </w:rPr>
        <w:t xml:space="preserve">A venture that produces or holds physical inventory — a manufacturing, agricultural, or craft-production business, for instance — must also apply the uniform capitalization rules (UNICAP) under IRC § 263A, which generally require certain production costs (labor, allocable overhead, and specified indirect costs) to be capitalized into the cost of inventory rather than deducted immediately as they are incurred. For an activity that has been informally accumulating years of production costs without ever setting up an inventory account, catching this up properly — capitalizing the accumulated costs into an opening inventory figure rather than either ignoring them or trying to deduct them all at once — is a necessary, one-time cleanup step.</w:t>
      </w:r>
    </w:p>
    <w:p>
      <w:pPr>
        <w:pStyle w:val="ListParagraph"/>
        <w:numPr>
          <w:ilvl w:val="0"/>
          <w:numId w:val="2"/>
        </w:numPr>
        <w:spacing w:after="60" w:line="276"/>
      </w:pPr>
      <w:r>
        <w:rPr>
          <w:rFonts w:ascii="Calibri" w:cs="Calibri" w:eastAsia="Calibri" w:hAnsi="Calibri"/>
          <w:sz w:val="21"/>
          <w:szCs w:val="21"/>
        </w:rPr>
        <w:t xml:space="preserve">Open a separate bank account and set up basic bookkeeping for the activity from the point it is treated as a business, even before it generates revenue — commingled personal and business funds is one of the clearest signals used against a taxpayer in a hobby-loss dispute.</w:t>
      </w:r>
    </w:p>
    <w:p>
      <w:pPr>
        <w:pStyle w:val="ListParagraph"/>
        <w:numPr>
          <w:ilvl w:val="0"/>
          <w:numId w:val="2"/>
        </w:numPr>
        <w:spacing w:after="60" w:line="276"/>
      </w:pPr>
      <w:r>
        <w:rPr>
          <w:rFonts w:ascii="Calibri" w:cs="Calibri" w:eastAsia="Calibri" w:hAnsi="Calibri"/>
          <w:sz w:val="21"/>
          <w:szCs w:val="21"/>
        </w:rPr>
        <w:t xml:space="preserve">Keep a simple written business plan and revisit it periodically — evidence of a taxpayer trying to improve the operation over time (adjusting methods, seeking advice, tracking results) strongly supports genuine profit motive.</w:t>
      </w:r>
    </w:p>
    <w:p>
      <w:pPr>
        <w:pStyle w:val="ListParagraph"/>
        <w:numPr>
          <w:ilvl w:val="0"/>
          <w:numId w:val="2"/>
        </w:numPr>
        <w:spacing w:after="60" w:line="276"/>
      </w:pPr>
      <w:r>
        <w:rPr>
          <w:rFonts w:ascii="Calibri" w:cs="Calibri" w:eastAsia="Calibri" w:hAnsi="Calibri"/>
          <w:sz w:val="21"/>
          <w:szCs w:val="21"/>
        </w:rPr>
        <w:t xml:space="preserve">If the activity involves inventory, check whether a specific-industry election under § 263A(f) or another available exception applies (for example, certain rules exist for aging or production periods exceeding two years in some industries) — some of the general capitalization requirements have industry-specific carve-outs worth confirming before assuming the general rule applies unmodified.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family has spent several years and real money producing a specialty agricultural product as a side venture, generating no revenue yet and keeping no separate books, on the informal advice that it "isn’t worth the paperwork" until it starts selling. Properly formalized, the activity is a genuine trade or business under § 183 (there is real effort, a plan to eventually sell the product, and improving practices over time), entitling it to deduct its ordinary costs — but because it has accumulated inventory over multiple years, those production costs must first be capitalized into an opening inventory figure under § 263A rather than simply written off, and a separate bank account and basic books need to be established going forward to support the profit-motive position if it is ever questioned.</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41. Routing 1099 Severance or Consulting Income Through a New LLC</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Schedule C / Sole Proprietor</w:t>
      </w:r>
    </w:p>
    <w:p>
      <w:pPr>
        <w:spacing w:after="140" w:line="276"/>
      </w:pPr>
      <w:r>
        <w:rPr>
          <w:rFonts w:ascii="Calibri" w:cs="Calibri" w:eastAsia="Calibri" w:hAnsi="Calibri"/>
          <w:sz w:val="21"/>
          <w:szCs w:val="21"/>
        </w:rPr>
        <w:t xml:space="preserve">When a departing employee’s severance, a consulting arrangement, or similar payment is going to be issued as 1099 nonemployee compensation rather than W-2 wages, receiving that payment directly in one’s own name (rather than through a business entity) forfeits a set of deductions and retirement-contribution opportunities that are only available to self-employment income earned through an actual trade or business — and the window to set this up closes the moment the payment is actually issued.</w:t>
      </w:r>
    </w:p>
    <w:p>
      <w:pPr>
        <w:pStyle w:val="Heading2"/>
        <w:spacing w:after="80" w:before="200"/>
      </w:pPr>
      <w:r>
        <w:rPr>
          <w:rFonts w:ascii="Calibri" w:cs="Calibri" w:eastAsia="Calibri" w:hAnsi="Calibri"/>
          <w:b/>
          <w:bCs/>
          <w:color w:val="2E5496"/>
          <w:sz w:val="24"/>
          <w:szCs w:val="24"/>
        </w:rPr>
        <w:t xml:space="preserve">Why the Entity Has to Exist Before the Money Moves</w:t>
      </w:r>
    </w:p>
    <w:p>
      <w:pPr>
        <w:spacing w:after="140" w:line="276"/>
      </w:pPr>
      <w:r>
        <w:rPr>
          <w:rFonts w:ascii="Calibri" w:cs="Calibri" w:eastAsia="Calibri" w:hAnsi="Calibri"/>
          <w:sz w:val="21"/>
          <w:szCs w:val="21"/>
        </w:rPr>
        <w:t xml:space="preserve">Income paid as 1099 nonemployee compensation is self-employment income, taxable to whoever it is issued to. If it is issued directly to an individual by name, that individual can still deduct ordinary business expenses against it on a personal return, but structuring the same income as being earned by a newly formed, disregarded single-member LLC — with the payer reissuing payment to the LLC rather than the individual — makes the business nature of the arrangement explicit and cleanly separates it from personal finances, which matters both for opening certain retirement-plan doors and for defending the deductions if ever questioned.</w:t>
      </w:r>
    </w:p>
    <w:p>
      <w:pPr>
        <w:spacing w:after="140" w:line="276"/>
      </w:pPr>
      <w:r>
        <w:rPr>
          <w:rFonts w:ascii="Calibri" w:cs="Calibri" w:eastAsia="Calibri" w:hAnsi="Calibri"/>
          <w:sz w:val="21"/>
          <w:szCs w:val="21"/>
        </w:rPr>
        <w:t xml:space="preserve">Critically, this only works if the entity is formed, and the payer is instructed to reissue payment to it, before the payment is actually made. Once a payment has been issued and reported under an individual’s own Social Security number, it generally cannot be retroactively reassigned to an entity formed afterward — the window to capture this structure closes the moment the check (or wire) goes out under the wrong name.</w:t>
      </w:r>
    </w:p>
    <w:p>
      <w:pPr>
        <w:spacing w:after="140" w:line="276"/>
      </w:pPr>
      <w:r>
        <w:rPr>
          <w:rFonts w:ascii="Calibri" w:cs="Calibri" w:eastAsia="Calibri" w:hAnsi="Calibri"/>
          <w:sz w:val="21"/>
          <w:szCs w:val="21"/>
        </w:rPr>
        <w:t xml:space="preserve">Once structured this way, the income supports several things that a bare individual consulting payment would not as cleanly: a solo 401(k) or SEP-IRA contribution sized to the self-employment income (potentially both an employee-deferral and an employer-contribution component, similar in mechanics to the retirement strategies discussed elsewhere in this guide); ordinary and necessary business-expense deductions under § 162 for costs like a home office, professional development, and travel related to the work or to a job search; and, for months not covered by a former employer’s continuation health coverage, a self-employed health insurance deduction under § 162(l).</w:t>
      </w:r>
    </w:p>
    <w:p>
      <w:pPr>
        <w:pStyle w:val="ListParagraph"/>
        <w:numPr>
          <w:ilvl w:val="0"/>
          <w:numId w:val="2"/>
        </w:numPr>
        <w:spacing w:after="60" w:line="276"/>
      </w:pPr>
      <w:r>
        <w:rPr>
          <w:rFonts w:ascii="Calibri" w:cs="Calibri" w:eastAsia="Calibri" w:hAnsi="Calibri"/>
          <w:sz w:val="21"/>
          <w:szCs w:val="21"/>
        </w:rPr>
        <w:t xml:space="preserve">Confirm with the payer, in writing, that the payment will be reissued to the new entity’s name and EIN — the payer’s own 1099 reporting needs to match the entity, not the individual, for this to hold up.</w:t>
      </w:r>
    </w:p>
    <w:p>
      <w:pPr>
        <w:pStyle w:val="ListParagraph"/>
        <w:numPr>
          <w:ilvl w:val="0"/>
          <w:numId w:val="2"/>
        </w:numPr>
        <w:spacing w:after="60" w:line="276"/>
      </w:pPr>
      <w:r>
        <w:rPr>
          <w:rFonts w:ascii="Calibri" w:cs="Calibri" w:eastAsia="Calibri" w:hAnsi="Calibri"/>
          <w:sz w:val="21"/>
          <w:szCs w:val="21"/>
        </w:rPr>
        <w:t xml:space="preserve">A single-member LLC used this way is typically kept disregarded (no S-election) when there is nothing yet worth the added complexity of an S-corp structure — that decision follows the same breakeven logic covered elsewhere in this guide once the income level and duration justify revisiting it.</w:t>
      </w:r>
    </w:p>
    <w:p>
      <w:pPr>
        <w:pStyle w:val="ListParagraph"/>
        <w:numPr>
          <w:ilvl w:val="0"/>
          <w:numId w:val="2"/>
        </w:numPr>
        <w:spacing w:after="60" w:line="276"/>
      </w:pPr>
      <w:r>
        <w:rPr>
          <w:rFonts w:ascii="Calibri" w:cs="Calibri" w:eastAsia="Calibri" w:hAnsi="Calibri"/>
          <w:sz w:val="21"/>
          <w:szCs w:val="21"/>
        </w:rPr>
        <w:t xml:space="preserve">Keep the new entity’s finances genuinely separate from personal accounts from day one — a dedicated bank account and basic bookkeeping are what make the § 162 deductions and the retirement contribution defensible as belonging to a real trade or business.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executive is separating from a company, with a substantial severance payment expected in the following month. Learning the severance will likely be issued as 1099 income rather than W-2 wages, he forms a new single-member LLC before the payment date and has the company reissue the payment to the LLC rather than to him personally. This lets him make a solo 401(k) contribution against the income and deduct home-office and job-search-related expenses that would not have been cleanly available had the same payment simply been issued directly to him by name.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42. Electing a Higher Withholding Rate on Supplemental Wages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  ·  IRS Compliance &amp; Risk Management</w:t>
      </w:r>
    </w:p>
    <w:p>
      <w:pPr>
        <w:spacing w:after="140" w:line="276"/>
      </w:pPr>
      <w:r>
        <w:rPr>
          <w:rFonts w:ascii="Calibri" w:cs="Calibri" w:eastAsia="Calibri" w:hAnsi="Calibri"/>
          <w:sz w:val="21"/>
          <w:szCs w:val="21"/>
        </w:rPr>
        <w:t xml:space="preserve">Bonuses, commissions, and severance paid through payroll are "supplemental wages," and employers are generally permitted to withhold federal income tax from them at a flat rate that is often far lower than the recipient’s actual marginal tax rate. A high earner who does not proactively elect a higher withholding rate on a large supplemental payment can end up significantly under-withheld for the year, even though the shortfall was entirely avoidable through a simple payroll election.</w:t>
      </w:r>
    </w:p>
    <w:p>
      <w:pPr>
        <w:pStyle w:val="Heading2"/>
        <w:spacing w:after="80" w:before="200"/>
      </w:pPr>
      <w:r>
        <w:rPr>
          <w:rFonts w:ascii="Calibri" w:cs="Calibri" w:eastAsia="Calibri" w:hAnsi="Calibri"/>
          <w:b/>
          <w:bCs/>
          <w:color w:val="2E5496"/>
          <w:sz w:val="24"/>
          <w:szCs w:val="24"/>
        </w:rPr>
        <w:t xml:space="preserve">Why the Default Supplemental Rate Can Create a Hidden Shortfall</w:t>
      </w:r>
    </w:p>
    <w:p>
      <w:pPr>
        <w:spacing w:after="140" w:line="276"/>
      </w:pPr>
      <w:r>
        <w:rPr>
          <w:rFonts w:ascii="Calibri" w:cs="Calibri" w:eastAsia="Calibri" w:hAnsi="Calibri"/>
          <w:sz w:val="21"/>
          <w:szCs w:val="21"/>
        </w:rPr>
        <w:t xml:space="preserve">The default flat withholding rate available for supplemental wages is set well below the top individual marginal tax rate. For an employee whose marginal rate is well above that flat rate — which describes most high earners receiving a large bonus or severance payment — withholding at the default flat rate on that payment withholds far less than what will actually be owed on that income when the return is filed, even though the withholding on the rest of the employee’s regular salary might be entirely adequate on its own.</w:t>
      </w:r>
    </w:p>
    <w:p>
      <w:pPr>
        <w:spacing w:after="140" w:line="276"/>
      </w:pPr>
      <w:r>
        <w:rPr>
          <w:rFonts w:ascii="Calibri" w:cs="Calibri" w:eastAsia="Calibri" w:hAnsi="Calibri"/>
          <w:sz w:val="21"/>
          <w:szCs w:val="21"/>
        </w:rPr>
        <w:t xml:space="preserve">Because tax withheld from wages (at any rate, on any paycheck) is treated as paid evenly across the entire tax year for underpayment-penalty purposes (see the payroll-withholding-timing strategy elsewhere in this guide), an employee who is going to receive a large supplemental payment has a specific, controllable choice: submit a withholding election (commonly through a Form W-4 adjustment or a specific request to the payroll department) asking that the supplemental payment be withheld at a higher rate — potentially at or near the recipient’s actual top marginal rate — rather than accepting the low default flat rate.</w:t>
      </w:r>
    </w:p>
    <w:p>
      <w:pPr>
        <w:spacing w:after="140" w:line="276"/>
      </w:pPr>
      <w:r>
        <w:rPr>
          <w:rFonts w:ascii="Calibri" w:cs="Calibri" w:eastAsia="Calibri" w:hAnsi="Calibri"/>
          <w:sz w:val="21"/>
          <w:szCs w:val="21"/>
        </w:rPr>
        <w:t xml:space="preserve">This does not change how much tax is ultimately owed; it changes when it gets paid, converting what would otherwise become a large balance due (and potentially an underpayment penalty) at filing time into tax that is already covered through payroll withholding by year-end.</w:t>
      </w:r>
    </w:p>
    <w:p>
      <w:pPr>
        <w:pStyle w:val="ListParagraph"/>
        <w:numPr>
          <w:ilvl w:val="0"/>
          <w:numId w:val="2"/>
        </w:numPr>
        <w:spacing w:after="60" w:line="276"/>
      </w:pPr>
      <w:r>
        <w:rPr>
          <w:rFonts w:ascii="Calibri" w:cs="Calibri" w:eastAsia="Calibri" w:hAnsi="Calibri"/>
          <w:sz w:val="21"/>
          <w:szCs w:val="21"/>
        </w:rPr>
        <w:t xml:space="preserve">This election needs to be made before the supplemental payment is processed — payroll systems generally cannot retroactively reclassify how a payment that has already been run was withheld.</w:t>
      </w:r>
    </w:p>
    <w:p>
      <w:pPr>
        <w:pStyle w:val="ListParagraph"/>
        <w:numPr>
          <w:ilvl w:val="0"/>
          <w:numId w:val="2"/>
        </w:numPr>
        <w:spacing w:after="60" w:line="276"/>
      </w:pPr>
      <w:r>
        <w:rPr>
          <w:rFonts w:ascii="Calibri" w:cs="Calibri" w:eastAsia="Calibri" w:hAnsi="Calibri"/>
          <w:sz w:val="21"/>
          <w:szCs w:val="21"/>
        </w:rPr>
        <w:t xml:space="preserve">Confirm with the payroll department exactly how they will implement a request for a non-default withholding rate on a specific payment — mechanics vary by payroll system and some require a specific written instruction rather than a standard form.</w:t>
      </w:r>
    </w:p>
    <w:p>
      <w:pPr>
        <w:pStyle w:val="ListParagraph"/>
        <w:numPr>
          <w:ilvl w:val="0"/>
          <w:numId w:val="2"/>
        </w:numPr>
        <w:spacing w:after="60" w:line="276"/>
      </w:pPr>
      <w:r>
        <w:rPr>
          <w:rFonts w:ascii="Calibri" w:cs="Calibri" w:eastAsia="Calibri" w:hAnsi="Calibri"/>
          <w:sz w:val="21"/>
          <w:szCs w:val="21"/>
        </w:rPr>
        <w:t xml:space="preserve">This is most valuable for someone who otherwise prefers not to make quarterly estimated payments during the year but still wants to avoid an underpayment penalty and a large surprise balance at filing — it accomplishes both without ever writing an estimated-tax check.</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executive expecting a $250,000 severance payment, taxed at a marginal rate well above the payroll system’s default flat supplemental-wage withholding rate, requests in writing that the payment be withheld at a much higher rate instead of the default. The payroll department processes the payment accordingly. As a result, a large share of the tax that would otherwise have come due as an unpleasant surprise on the following year’s return is instead already withheld and credited throughout the year the payment was received.</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43. Cryptocurrency Loss Harvesting Without the Wash-Sale Rule</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w:t>
      </w:r>
    </w:p>
    <w:p>
      <w:pPr>
        <w:spacing w:after="140" w:line="276"/>
      </w:pPr>
      <w:r>
        <w:rPr>
          <w:rFonts w:ascii="Calibri" w:cs="Calibri" w:eastAsia="Calibri" w:hAnsi="Calibri"/>
          <w:sz w:val="21"/>
          <w:szCs w:val="21"/>
        </w:rPr>
        <w:t xml:space="preserve">The wash-sale rule, which disallows a tax loss when a security is repurchased within 30 days before or after the sale that generated the loss, applies specifically to "stock or securities." Because the IRS treats cryptocurrency as property rather than as a security for federal tax purposes, the wash-sale rule does not currently apply to cryptocurrency transactions — creating a loss-harvesting opportunity unavailable to stock and fund investors.</w:t>
      </w:r>
    </w:p>
    <w:p>
      <w:pPr>
        <w:pStyle w:val="Heading2"/>
        <w:spacing w:after="80" w:before="200"/>
      </w:pPr>
      <w:r>
        <w:rPr>
          <w:rFonts w:ascii="Calibri" w:cs="Calibri" w:eastAsia="Calibri" w:hAnsi="Calibri"/>
          <w:b/>
          <w:bCs/>
          <w:color w:val="2E5496"/>
          <w:sz w:val="24"/>
          <w:szCs w:val="24"/>
        </w:rPr>
        <w:t xml:space="preserve">Why Crypto Loss Harvesting Works Differently Than Stock Loss Harvesting</w:t>
      </w:r>
    </w:p>
    <w:p>
      <w:pPr>
        <w:spacing w:after="140" w:line="276"/>
      </w:pPr>
      <w:r>
        <w:rPr>
          <w:rFonts w:ascii="Calibri" w:cs="Calibri" w:eastAsia="Calibri" w:hAnsi="Calibri"/>
          <w:sz w:val="21"/>
          <w:szCs w:val="21"/>
        </w:rPr>
        <w:t xml:space="preserve">When a stock investor harvests a loss, they generally cannot simply repurchase the identical position immediately — doing so within 30 days triggers the wash-sale rule, disallowing the loss and requiring the investor to either wait out the 30-day window or buy something similar-but-not-identical instead, both of which carry some market-exposure risk during the interim.</w:t>
      </w:r>
    </w:p>
    <w:p>
      <w:pPr>
        <w:spacing w:after="140" w:line="276"/>
      </w:pPr>
      <w:r>
        <w:rPr>
          <w:rFonts w:ascii="Calibri" w:cs="Calibri" w:eastAsia="Calibri" w:hAnsi="Calibri"/>
          <w:sz w:val="21"/>
          <w:szCs w:val="21"/>
        </w:rPr>
        <w:t xml:space="preserve">Because cryptocurrency is classified as property, not as a security, for federal tax purposes (per IRS Notice 2014-21), the wash-sale rule’s specific reference to "stock or securities" does not currently reach it. This means a cryptocurrency holder sitting on an unrealized loss can sell the position to realize the loss for tax purposes, and immediately repurchase the identical asset at essentially the same price, with no waiting period and no market-exposure gap — capturing the tax loss while maintaining the exact same investment position throughout.</w:t>
      </w:r>
    </w:p>
    <w:p>
      <w:pPr>
        <w:spacing w:after="140" w:line="276"/>
      </w:pPr>
      <w:r>
        <w:rPr>
          <w:rFonts w:ascii="Calibri" w:cs="Calibri" w:eastAsia="Calibri" w:hAnsi="Calibri"/>
          <w:sz w:val="21"/>
          <w:szCs w:val="21"/>
        </w:rPr>
        <w:t xml:space="preserve">This is a real, currently-available position under the letter of the existing statute, but it depends on the current legal classification of cryptocurrency as property rather than as a security, a classification that has been the subject of ongoing legislative and regulatory discussion — anyone relying on this should confirm the current-law treatment is still in effect at the time of the transaction, rather than assuming it will remain unchanged indefinitely.</w:t>
      </w:r>
    </w:p>
    <w:p>
      <w:pPr>
        <w:pStyle w:val="ListParagraph"/>
        <w:numPr>
          <w:ilvl w:val="0"/>
          <w:numId w:val="2"/>
        </w:numPr>
        <w:spacing w:after="60" w:line="276"/>
      </w:pPr>
      <w:r>
        <w:rPr>
          <w:rFonts w:ascii="Calibri" w:cs="Calibri" w:eastAsia="Calibri" w:hAnsi="Calibri"/>
          <w:sz w:val="21"/>
          <w:szCs w:val="21"/>
        </w:rPr>
        <w:t xml:space="preserve">Document each harvested position carefully: the exact sale price, timestamp, and immediately following repurchase, ideally with contemporaneous records (exchange confirmations, screenshots) establishing that the loss was genuinely realized at a real market transaction.</w:t>
      </w:r>
    </w:p>
    <w:p>
      <w:pPr>
        <w:pStyle w:val="ListParagraph"/>
        <w:numPr>
          <w:ilvl w:val="0"/>
          <w:numId w:val="2"/>
        </w:numPr>
        <w:spacing w:after="60" w:line="276"/>
      </w:pPr>
      <w:r>
        <w:rPr>
          <w:rFonts w:ascii="Calibri" w:cs="Calibri" w:eastAsia="Calibri" w:hAnsi="Calibri"/>
          <w:sz w:val="21"/>
          <w:szCs w:val="21"/>
        </w:rPr>
        <w:t xml:space="preserve">This applies to genuinely realized losses on an actual sale — it does not create a deduction for merely unrealized declines in a position that is never sold.</w:t>
      </w:r>
    </w:p>
    <w:p>
      <w:pPr>
        <w:pStyle w:val="ListParagraph"/>
        <w:numPr>
          <w:ilvl w:val="0"/>
          <w:numId w:val="2"/>
        </w:numPr>
        <w:spacing w:after="60" w:line="276"/>
      </w:pPr>
      <w:r>
        <w:rPr>
          <w:rFonts w:ascii="Calibri" w:cs="Calibri" w:eastAsia="Calibri" w:hAnsi="Calibri"/>
          <w:sz w:val="21"/>
          <w:szCs w:val="21"/>
        </w:rPr>
        <w:t xml:space="preserve">Because losses are generally used against gains of the same character first (short-term against short-term, long-term against long-term), harvest with an eye toward what character of gain the loss is meant to offset elsewhere in the portfolio or the tax year.</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active cryptocurrency trader is sitting on a substantial unrealized loss in one position while holding substantial short-term gains elsewhere from other trades during the year. He sells the losing position, realizing the loss for tax purposes, and immediately repurchases the identical asset at essentially the same price — maintaining his market exposure with no interruption. Because the wash-sale rule does not apply to cryptocurrency, the realized loss stands and directly offsets his other short-term gains for the year, something he could not have done this cleanly with a comparable stock position.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44. The § 475(f) Mark-to-Market Election for Active Traders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  ·  S-Corporation</w:t>
      </w:r>
    </w:p>
    <w:p>
      <w:pPr>
        <w:spacing w:after="140" w:line="276"/>
      </w:pPr>
      <w:r>
        <w:rPr>
          <w:rFonts w:ascii="Calibri" w:cs="Calibri" w:eastAsia="Calibri" w:hAnsi="Calibri"/>
          <w:sz w:val="21"/>
          <w:szCs w:val="21"/>
        </w:rPr>
        <w:t xml:space="preserve">A taxpayer (or a trading entity) that qualifies as a "trader" under the tax code — as distinguished from a mere "investor" — can elect mark-to-market accounting under IRC § 475(f), treating all open positions as if sold at year-end fair market value and simplifying the bookkeeping burden of tracking gain and loss on a very high volume of transactions, though the underlying character of the income is often unaffected for a trader whose activity was already short-term and ordinary in character.</w:t>
      </w:r>
    </w:p>
    <w:p>
      <w:pPr>
        <w:pStyle w:val="Heading2"/>
        <w:spacing w:after="80" w:before="200"/>
      </w:pPr>
      <w:r>
        <w:rPr>
          <w:rFonts w:ascii="Calibri" w:cs="Calibri" w:eastAsia="Calibri" w:hAnsi="Calibri"/>
          <w:b/>
          <w:bCs/>
          <w:color w:val="2E5496"/>
          <w:sz w:val="24"/>
          <w:szCs w:val="24"/>
        </w:rPr>
        <w:t xml:space="preserve">What the Election Actually Does — and Does Not Do</w:t>
      </w:r>
    </w:p>
    <w:p>
      <w:pPr>
        <w:spacing w:after="140" w:line="276"/>
      </w:pPr>
      <w:r>
        <w:rPr>
          <w:rFonts w:ascii="Calibri" w:cs="Calibri" w:eastAsia="Calibri" w:hAnsi="Calibri"/>
          <w:sz w:val="21"/>
          <w:szCs w:val="21"/>
        </w:rPr>
        <w:t xml:space="preserve">Qualifying as a "trader" (rather than an "investor") for tax purposes generally requires a level of activity, frequency, and continuity that most casual or even active-but-modest investors do not meet — courts and the IRS look at trading frequency, the substantiality of the activity, and whether the taxpayer’s intent is to catch short-term market movements rather than to hold for long-term appreciation. Someone conducting extremely high-volume, short-holding-period trading — hundreds or thousands of transactions across a year — has a much stronger case for trader status than a typical active retail investor.</w:t>
      </w:r>
    </w:p>
    <w:p>
      <w:pPr>
        <w:spacing w:after="140" w:line="276"/>
      </w:pPr>
      <w:r>
        <w:rPr>
          <w:rFonts w:ascii="Calibri" w:cs="Calibri" w:eastAsia="Calibri" w:hAnsi="Calibri"/>
          <w:sz w:val="21"/>
          <w:szCs w:val="21"/>
        </w:rPr>
        <w:t xml:space="preserve">For a taxpayer or entity that does qualify as a trader, the § 475(f) mark-to-market election changes two things. First, it eliminates the wash-sale rule’s application to the trading positions, since gains and losses are recognized annually on a mark-to-market basis rather than on each individual sale. Second, and more significantly for bookkeeping purposes, it eliminates the need to track cost basis and holding period lot-by-lot across an extremely high volume of trades — every position is simply marked to its year-end value, and the resulting gain or loss is reported as one aggregate ordinary figure, dramatically simplifying recordkeeping for a trader executing thousands of transactions.</w:t>
      </w:r>
    </w:p>
    <w:p>
      <w:pPr>
        <w:spacing w:after="140" w:line="276"/>
      </w:pPr>
      <w:r>
        <w:rPr>
          <w:rFonts w:ascii="Calibri" w:cs="Calibri" w:eastAsia="Calibri" w:hAnsi="Calibri"/>
          <w:sz w:val="21"/>
          <w:szCs w:val="21"/>
        </w:rPr>
        <w:t xml:space="preserve">For a trader whose activity is already primarily short-term (positions typically held from minutes to a few months), the election generally does not change the fundamental character of the income — it was already going to be taxed as short-term/ordinary either way — so the primary benefit is administrative simplification and wash-sale elimination, not a rate change. The election is a meaningfully bigger decision for a trader who might otherwise have had at least some long-term gains, since making the election converts everything to ordinary treatment, forfeiting any long-term rate benefit on positions that would have otherwise qualified.</w:t>
      </w:r>
    </w:p>
    <w:p>
      <w:pPr>
        <w:pStyle w:val="ListParagraph"/>
        <w:numPr>
          <w:ilvl w:val="0"/>
          <w:numId w:val="2"/>
        </w:numPr>
        <w:spacing w:after="60" w:line="276"/>
      </w:pPr>
      <w:r>
        <w:rPr>
          <w:rFonts w:ascii="Calibri" w:cs="Calibri" w:eastAsia="Calibri" w:hAnsi="Calibri"/>
          <w:sz w:val="21"/>
          <w:szCs w:val="21"/>
        </w:rPr>
        <w:t xml:space="preserve">The election is generally made by attaching a statement to a timely filed return (or extension) for the year before the one to which it applies, following the procedures in Rev. Proc. 99-17 — the timing is specific and the election is not available retroactively after the fact.</w:t>
      </w:r>
    </w:p>
    <w:p>
      <w:pPr>
        <w:pStyle w:val="ListParagraph"/>
        <w:numPr>
          <w:ilvl w:val="0"/>
          <w:numId w:val="2"/>
        </w:numPr>
        <w:spacing w:after="60" w:line="276"/>
      </w:pPr>
      <w:r>
        <w:rPr>
          <w:rFonts w:ascii="Calibri" w:cs="Calibri" w:eastAsia="Calibri" w:hAnsi="Calibri"/>
          <w:sz w:val="21"/>
          <w:szCs w:val="21"/>
        </w:rPr>
        <w:t xml:space="preserve">A newly formed trading entity generally has more flexibility to make this election on its very first return, without the same prior-year deadline constraints that apply to an individual or an entity that has already been trading for some time.</w:t>
      </w:r>
    </w:p>
    <w:p>
      <w:pPr>
        <w:pStyle w:val="ListParagraph"/>
        <w:numPr>
          <w:ilvl w:val="0"/>
          <w:numId w:val="2"/>
        </w:numPr>
        <w:spacing w:after="60" w:line="276"/>
      </w:pPr>
      <w:r>
        <w:rPr>
          <w:rFonts w:ascii="Calibri" w:cs="Calibri" w:eastAsia="Calibri" w:hAnsi="Calibri"/>
          <w:sz w:val="21"/>
          <w:szCs w:val="21"/>
        </w:rPr>
        <w:t xml:space="preserve">Confirm trader status is actually defensible before electing — electing mark-to-market treatment while not genuinely qualifying as a trader creates its own risk on examination, separate from whatever benefit the simplification was meant to provide.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newly formed trading entity executes 40,000 trades in its first year, with average holding periods measured in hours, generating $600,000 of net trading gains. Without the § 475(f) election, every one of those 40,000 trades must be tracked individually for cost basis, holding period, and wash-sale adjustments — a bookkeeping burden that alone can cost tens of thousands of dollars in preparation fees, and any trades reopened within 30 days after a loss trigger wash-sale deferrals that further complicate the calculation. By electing mark-to-market on its very first return (available without the twelve-month advance-filing deadline that applies to an already-existing trader), the entity instead marks all open positions to their December 31 fair value once, reports the entire $600,000 as ordinary income on a single aggregated schedule, and the wash-sale rule is eliminated entirely for these positions. Because virtually all of the entity's activity was already short-term (and therefore ordinary income) regardless, the election costs nothing in rate terms — the $600,000 would have been taxed at ordinary rates either way — while saving an estimated $30,000-$50,000 in bookkeeping and preparation costs that lot-by-lot tracking of 40,000 trades would otherwise have required.</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45. The Heavy Vehicle (GVWR) Depreciation Exception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w:t>
      </w:r>
    </w:p>
    <w:p>
      <w:pPr>
        <w:spacing w:after="140" w:line="276"/>
      </w:pPr>
      <w:r>
        <w:rPr>
          <w:rFonts w:ascii="Calibri" w:cs="Calibri" w:eastAsia="Calibri" w:hAnsi="Calibri"/>
          <w:sz w:val="21"/>
          <w:szCs w:val="21"/>
        </w:rPr>
        <w:t xml:space="preserve">The tax code imposes strict annual depreciation caps on passenger automobiles used for business — the so-called "luxury auto" limits — that can stretch the deduction for an expensive vehicle out over many years. Vehicles rated above a specific gross vehicle weight threshold are entirely exempt from these caps, making the manufacturer’s weight rating a simple, decisive fact that determines whether a vehicle purchase can be substantially or fully deducted in its first year.</w:t>
      </w:r>
    </w:p>
    <w:p>
      <w:pPr>
        <w:pStyle w:val="Heading2"/>
        <w:spacing w:after="80" w:before="200"/>
      </w:pPr>
      <w:r>
        <w:rPr>
          <w:rFonts w:ascii="Calibri" w:cs="Calibri" w:eastAsia="Calibri" w:hAnsi="Calibri"/>
          <w:b/>
          <w:bCs/>
          <w:color w:val="2E5496"/>
          <w:sz w:val="24"/>
          <w:szCs w:val="24"/>
        </w:rPr>
        <w:t xml:space="preserve">Why a Vehicle’s Weight Rating Changes Everything</w:t>
      </w:r>
    </w:p>
    <w:p>
      <w:pPr>
        <w:spacing w:after="140" w:line="276"/>
      </w:pPr>
      <w:r>
        <w:rPr>
          <w:rFonts w:ascii="Calibri" w:cs="Calibri" w:eastAsia="Calibri" w:hAnsi="Calibri"/>
          <w:sz w:val="21"/>
          <w:szCs w:val="21"/>
        </w:rPr>
        <w:t xml:space="preserve">IRC § 280F limits the annual depreciation deduction for a "passenger automobile" used in a business to a set of statutory dollar caps, indexed for inflation, that apply regardless of the vehicle’s actual purchase price — an expensive passenger car is depreciated no faster than these caps allow, stretching out full cost recovery over many years even under otherwise-available bonus depreciation rules.</w:t>
      </w:r>
    </w:p>
    <w:p>
      <w:pPr>
        <w:spacing w:after="140" w:line="276"/>
      </w:pPr>
      <w:r>
        <w:rPr>
          <w:rFonts w:ascii="Calibri" w:cs="Calibri" w:eastAsia="Calibri" w:hAnsi="Calibri"/>
          <w:sz w:val="21"/>
          <w:szCs w:val="21"/>
        </w:rPr>
        <w:t xml:space="preserve">The luxury-auto limitation, however, applies specifically to vehicles rated at 6,000 pounds gross vehicle weight rating (GVWR) or less. A vehicle rated above 6,000 pounds GVWR — a category that includes many full-size pickup trucks, large SUVs, and vans — is not a "passenger automobile" for purposes of this limitation at all, and is instead depreciated under the regular rules that apply to other business equipment, which (subject to separate, less restrictive rules for SUVs under § 179) can allow the vehicle’s full business-use cost to be deducted in the first year through bonus depreciation or § 179 expensing.</w:t>
      </w:r>
    </w:p>
    <w:p>
      <w:pPr>
        <w:spacing w:after="140" w:line="276"/>
      </w:pPr>
      <w:r>
        <w:rPr>
          <w:rFonts w:ascii="Calibri" w:cs="Calibri" w:eastAsia="Calibri" w:hAnsi="Calibri"/>
          <w:sz w:val="21"/>
          <w:szCs w:val="21"/>
        </w:rPr>
        <w:t xml:space="preserve">A vehicle’s GVWR is a fixed, manufacturer-specified fact — found on a sticker on the driver’s side door jamb — not something that depends on how the vehicle is actually loaded or used day to day. This makes qualification for the heavy-vehicle exception straightforward to confirm (or rule out) before a purchase, simply by checking that rating, and straightforward to substantiate afterward by keeping a copy of that door-jamb sticker or the manufacturer’s specification sheet on file.</w:t>
      </w:r>
    </w:p>
    <w:p>
      <w:pPr>
        <w:pStyle w:val="ListParagraph"/>
        <w:numPr>
          <w:ilvl w:val="0"/>
          <w:numId w:val="2"/>
        </w:numPr>
        <w:spacing w:after="60" w:line="276"/>
      </w:pPr>
      <w:r>
        <w:rPr>
          <w:rFonts w:ascii="Calibri" w:cs="Calibri" w:eastAsia="Calibri" w:hAnsi="Calibri"/>
          <w:sz w:val="21"/>
          <w:szCs w:val="21"/>
        </w:rPr>
        <w:t xml:space="preserve">Confirm the specific vehicle’s GVWR before purchase — it varies by trim level and configuration even within the same model line, so one version of a truck or SUV may qualify while a lighter-configured version of the same model does not.</w:t>
      </w:r>
    </w:p>
    <w:p>
      <w:pPr>
        <w:pStyle w:val="ListParagraph"/>
        <w:numPr>
          <w:ilvl w:val="0"/>
          <w:numId w:val="2"/>
        </w:numPr>
        <w:spacing w:after="60" w:line="276"/>
      </w:pPr>
      <w:r>
        <w:rPr>
          <w:rFonts w:ascii="Calibri" w:cs="Calibri" w:eastAsia="Calibri" w:hAnsi="Calibri"/>
          <w:sz w:val="21"/>
          <w:szCs w:val="21"/>
        </w:rPr>
        <w:t xml:space="preserve">The heavy-vehicle exception addresses the luxury-auto dollar caps specifically — the vehicle still needs to meet the general business-use substantiation requirements (a contemporaneous mileage log documenting business-use percentage) to support any deduction at all.</w:t>
      </w:r>
    </w:p>
    <w:p>
      <w:pPr>
        <w:pStyle w:val="ListParagraph"/>
        <w:numPr>
          <w:ilvl w:val="0"/>
          <w:numId w:val="2"/>
        </w:numPr>
        <w:spacing w:after="60" w:line="276"/>
      </w:pPr>
      <w:r>
        <w:rPr>
          <w:rFonts w:ascii="Calibri" w:cs="Calibri" w:eastAsia="Calibri" w:hAnsi="Calibri"/>
          <w:sz w:val="21"/>
          <w:szCs w:val="21"/>
        </w:rPr>
        <w:t xml:space="preserve">A vehicle fully expensed this way is driven down to little or no remaining basis — selling it later at a price above that basis produces fully taxable ordinary-income recapture; trading it in toward a replacement business vehicle, rather than selling it outright, generally defers that recapture instead.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owner buys a full-size pickup truck for exclusively business use, costing significantly more than the luxury-auto depreciation caps would otherwise allow deducting in a single year for an ordinary passenger car. Before finalizing the purchase, the owner confirms via the door-jamb sticker that this specific trim’s GVWR exceeds 6,000 pounds. Because the vehicle falls outside the "passenger automobile" definition entirely, its full business-use cost is eligible for bonus depreciation in the first year, rather than being spread out over several years under the luxury-auto caps that would apply to a lighter vehicle of the same price.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46. Real Estate Professional Status (REPS) to Deduct Rental Losses Against Other Income</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Real Estate</w:t>
      </w:r>
    </w:p>
    <w:p>
      <w:pPr>
        <w:spacing w:after="140" w:line="276"/>
      </w:pPr>
      <w:r>
        <w:rPr>
          <w:rFonts w:ascii="Calibri" w:cs="Calibri" w:eastAsia="Calibri" w:hAnsi="Calibri"/>
          <w:sz w:val="21"/>
          <w:szCs w:val="21"/>
        </w:rPr>
        <w:t xml:space="preserve">Rental real estate losses are ordinarily passive and trapped against passive income only, no matter how large the depreciation-driven loss is. A taxpayer who qualifies as a real estate professional under IRC § 469(c)(7) removes that automatic passive label from their rental activities, opening the door for large rental losses — including a first-year cost-segregation loss — to offset wages, business income, or any other active income, without needing the short-term-rental average-stay test or a business entity to lease through.</w:t>
      </w:r>
    </w:p>
    <w:p>
      <w:pPr>
        <w:pStyle w:val="Heading2"/>
        <w:spacing w:after="80" w:before="200"/>
      </w:pPr>
      <w:r>
        <w:rPr>
          <w:rFonts w:ascii="Calibri" w:cs="Calibri" w:eastAsia="Calibri" w:hAnsi="Calibri"/>
          <w:b/>
          <w:bCs/>
          <w:color w:val="2E5496"/>
          <w:sz w:val="24"/>
          <w:szCs w:val="24"/>
        </w:rPr>
        <w:t xml:space="preserve">The Two-Part Test, and Why It Is Demanding</w:t>
      </w:r>
    </w:p>
    <w:p>
      <w:pPr>
        <w:spacing w:after="140" w:line="276"/>
      </w:pPr>
      <w:r>
        <w:rPr>
          <w:rFonts w:ascii="Calibri" w:cs="Calibri" w:eastAsia="Calibri" w:hAnsi="Calibri"/>
          <w:sz w:val="21"/>
          <w:szCs w:val="21"/>
        </w:rPr>
        <w:t xml:space="preserve">To qualify as a real estate professional, a taxpayer must satisfy two separate quantitative thresholds in the same year: more than 750 hours of personal services in real property trades or businesses (development, construction, acquisition, rental, management, operation, leasing, or brokerage), and more than half of all personal services performed in trades or businesses during the year must be in real property trades or businesses. For someone with a full-time job or another primary business, the second test is often the harder one to clear — it requires real property work to exceed literally all of their other combined working time for the year, not just be substantial in absolute terms.</w:t>
      </w:r>
    </w:p>
    <w:p>
      <w:pPr>
        <w:spacing w:after="140" w:line="276"/>
      </w:pPr>
      <w:r>
        <w:rPr>
          <w:rFonts w:ascii="Calibri" w:cs="Calibri" w:eastAsia="Calibri" w:hAnsi="Calibri"/>
          <w:sz w:val="21"/>
          <w:szCs w:val="21"/>
        </w:rPr>
        <w:t xml:space="preserve">Qualifying as a real estate professional only removes the automatic passive-activity classification — it does not, by itself, make any specific rental activity non-passive. The taxpayer must separately establish material participation in each rental activity (or in the activities as grouped together) under the general material-participation tests, commonly by working more hours in that activity than anyone else involved, including any property manager or co-owner. A real estate professional who then hands day-to-day management to a property manager or a co-owner who does most of the work can lose material participation even after clearing the 750-hour/more-than-half test.</w:t>
      </w:r>
    </w:p>
    <w:p>
      <w:pPr>
        <w:spacing w:after="140" w:line="276"/>
      </w:pPr>
      <w:r>
        <w:rPr>
          <w:rFonts w:ascii="Calibri" w:cs="Calibri" w:eastAsia="Calibri" w:hAnsi="Calibri"/>
          <w:sz w:val="21"/>
          <w:szCs w:val="21"/>
        </w:rPr>
        <w:t xml:space="preserve">A taxpayer who owns several rental properties can make a one-time grouping election under Treas. Reg. § 1.469-9(g) to treat all rental real estate interests as a single activity for purposes of the material-participation test — this is often essential, since material participation might be provable for the combined portfolio (spending substantial time across several properties) even where no single property alone would clear the bar on its own.</w:t>
      </w:r>
    </w:p>
    <w:p>
      <w:pPr>
        <w:pStyle w:val="ListParagraph"/>
        <w:numPr>
          <w:ilvl w:val="0"/>
          <w:numId w:val="2"/>
        </w:numPr>
        <w:spacing w:after="60" w:line="276"/>
      </w:pPr>
      <w:r>
        <w:rPr>
          <w:rFonts w:ascii="Calibri" w:cs="Calibri" w:eastAsia="Calibri" w:hAnsi="Calibri"/>
          <w:sz w:val="21"/>
          <w:szCs w:val="21"/>
        </w:rPr>
        <w:t xml:space="preserve">Keep a contemporaneous log of hours spent on real property work — courts have repeatedly rejected after-the-fact reconstructions and estimates; the log should be created at or near the time the work is performed, not assembled at tax time.</w:t>
      </w:r>
    </w:p>
    <w:p>
      <w:pPr>
        <w:pStyle w:val="ListParagraph"/>
        <w:numPr>
          <w:ilvl w:val="0"/>
          <w:numId w:val="2"/>
        </w:numPr>
        <w:spacing w:after="60" w:line="276"/>
      </w:pPr>
      <w:r>
        <w:rPr>
          <w:rFonts w:ascii="Calibri" w:cs="Calibri" w:eastAsia="Calibri" w:hAnsi="Calibri"/>
          <w:sz w:val="21"/>
          <w:szCs w:val="21"/>
        </w:rPr>
        <w:t xml:space="preserve">The more-than-half test is measured against all of the taxpayer’s personal services in every trade or business that year — a taxpayer with a demanding unrelated job or profession will find this test very difficult regardless of how many real estate hours they log.</w:t>
      </w:r>
    </w:p>
    <w:p>
      <w:pPr>
        <w:pStyle w:val="ListParagraph"/>
        <w:numPr>
          <w:ilvl w:val="0"/>
          <w:numId w:val="2"/>
        </w:numPr>
        <w:spacing w:after="60" w:line="276"/>
      </w:pPr>
      <w:r>
        <w:rPr>
          <w:rFonts w:ascii="Calibri" w:cs="Calibri" w:eastAsia="Calibri" w:hAnsi="Calibri"/>
          <w:sz w:val="21"/>
          <w:szCs w:val="21"/>
        </w:rPr>
        <w:t xml:space="preserve">If more than one owner is materially involved in managing the same rental portfolio, only the person who can show they did more of the work (or independently qualifies on their own hours) has a defensible material-participation position — a co-owner doing comparable work undermines the claim for both.</w:t>
      </w:r>
    </w:p>
    <w:p>
      <w:pPr>
        <w:pStyle w:val="ListParagraph"/>
        <w:numPr>
          <w:ilvl w:val="0"/>
          <w:numId w:val="2"/>
        </w:numPr>
        <w:spacing w:after="60" w:line="276"/>
      </w:pPr>
      <w:r>
        <w:rPr>
          <w:rFonts w:ascii="Calibri" w:cs="Calibri" w:eastAsia="Calibri" w:hAnsi="Calibri"/>
          <w:sz w:val="21"/>
          <w:szCs w:val="21"/>
        </w:rPr>
        <w:t xml:space="preserve">The grouping election under § 1.469-9(g) should be made and documented in writing with the return for the first year it is relied upon — it generally cannot be made retroactively once the position is challenged.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real estate broker earns $180,000 in brokerage commissions and also personally owns and manages seven rental properties worth a combined $3,500,000. Cost segregation studies across the portfolio generate a first-year loss of $420,000. She logs 900 hours on real estate work across the year (brokerage plus property management combined) — clearing the 750-hour threshold — and because she has no other job or profession competing for her time, more than half of her total working hours are in real property trades or businesses, clearing the second test as well. She makes a written § 1.469-9(g) election grouping all seven rentals into one activity, and her contemporaneous log shows 340 hours specifically on property management, more than any property manager or co-owner. With both tests cleared and material participation documented, the full $420,000 loss offsets her $180,000 of brokerage income plus other income, rather than being suspended as passive — a difference worth roughly $145,000 in current-year tax at a combined 35% marginal rate. Had she instead handed day-to-day management to a property-management company logging more hours than she did, the same $420,000 loss would have been trapped as passive despite her clearing the 750-hour/more-than-half test on paper.</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47. The Specified Service Trade or Business (SSTB) Exclusion from the QBI Deduction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  ·  Partnership / LLC  ·  Schedule C / Sole Proprietor</w:t>
      </w:r>
    </w:p>
    <w:p>
      <w:pPr>
        <w:spacing w:after="140" w:line="276"/>
      </w:pPr>
      <w:r>
        <w:rPr>
          <w:rFonts w:ascii="Calibri" w:cs="Calibri" w:eastAsia="Calibri" w:hAnsi="Calibri"/>
          <w:sz w:val="21"/>
          <w:szCs w:val="21"/>
        </w:rPr>
        <w:t xml:space="preserve">The qualified business income (QBI) deduction is available to owners of most pass-through businesses, but a specific category of businesses — "specified service trades or businesses," or SSTBs — loses the deduction entirely once the owner’s taxable income clears a statutory phase-out range, regardless of how much W-2 wages the business pays or how much depreciable property it owns.</w:t>
      </w:r>
    </w:p>
    <w:p>
      <w:pPr>
        <w:pStyle w:val="Heading2"/>
        <w:spacing w:after="80" w:before="200"/>
      </w:pPr>
      <w:r>
        <w:rPr>
          <w:rFonts w:ascii="Calibri" w:cs="Calibri" w:eastAsia="Calibri" w:hAnsi="Calibri"/>
          <w:b/>
          <w:bCs/>
          <w:color w:val="2E5496"/>
          <w:sz w:val="24"/>
          <w:szCs w:val="24"/>
        </w:rPr>
        <w:t xml:space="preserve">What Counts as an SSTB, and Why the Phase-Out Is a Cliff</w:t>
      </w:r>
    </w:p>
    <w:p>
      <w:pPr>
        <w:spacing w:after="140" w:line="276"/>
      </w:pPr>
      <w:r>
        <w:rPr>
          <w:rFonts w:ascii="Calibri" w:cs="Calibri" w:eastAsia="Calibri" w:hAnsi="Calibri"/>
          <w:sz w:val="21"/>
          <w:szCs w:val="21"/>
        </w:rPr>
        <w:t xml:space="preserve">IRC § 199A(d)(2) and its regulations define SSTBs to include fields such as health, law, accounting, actuarial science, performing arts, consulting, athletics, financial services, brokerage services (in the investment-advisory sense, not real estate brokerage), and any trade or business where the principal asset is the reputation or skill of one or more of its employees or owners. A medical practice, a law firm, and a financial advisory business are common examples; a real estate brokerage, a restaurant, or a manufacturing business generally are not SSTBs, even though they may also depend heavily on the skill of specific people.</w:t>
      </w:r>
    </w:p>
    <w:p>
      <w:pPr>
        <w:spacing w:after="140" w:line="276"/>
      </w:pPr>
      <w:r>
        <w:rPr>
          <w:rFonts w:ascii="Calibri" w:cs="Calibri" w:eastAsia="Calibri" w:hAnsi="Calibri"/>
          <w:sz w:val="21"/>
          <w:szCs w:val="21"/>
        </w:rPr>
        <w:t xml:space="preserve">Below the lower end of a taxable-income phase-out range (indexed annually), an SSTB owner still gets the full QBI deduction just like any other pass-through business. Within the phase-out range, the deduction phases out proportionally. Above the upper end of the range, the SSTB’s QBI deduction is reduced to zero completely — not limited by wages, not reduced proportionally, eliminated outright — no matter how large the W-2 wages paid or how much qualifying property the business owns. This is a fundamentally different mechanism than the wage limitation that applies to non-SSTB businesses (see the QBI wage true-up strategy elsewhere in this guide): for a non-SSTB business, paying more wages can increase the available deduction; for an SSTB business above the phase-out ceiling, no amount of additional wages restores any QBI deduction at all.</w:t>
      </w:r>
    </w:p>
    <w:p>
      <w:pPr>
        <w:spacing w:after="140" w:line="276"/>
      </w:pPr>
      <w:r>
        <w:rPr>
          <w:rFonts w:ascii="Calibri" w:cs="Calibri" w:eastAsia="Calibri" w:hAnsi="Calibri"/>
          <w:sz w:val="21"/>
          <w:szCs w:val="21"/>
        </w:rPr>
        <w:t xml:space="preserve">This creates a real planning tension for a household running both an SSTB and a non-SSTB business (a common pattern for a couple who each own a different type of practice): raising W-2 wages in the non-SSTB business can genuinely increase that business’s QBI deduction, but the same wage increase does nothing for the SSTB business’s QBI, which stays at zero above the income ceiling regardless. Wages cannot be reallocated from one spouse’s business to "help" the other’s QBI position — each business’s QBI deduction is computed on its own facts.</w:t>
      </w:r>
    </w:p>
    <w:p>
      <w:pPr>
        <w:pStyle w:val="ListParagraph"/>
        <w:numPr>
          <w:ilvl w:val="0"/>
          <w:numId w:val="2"/>
        </w:numPr>
        <w:spacing w:after="60" w:line="276"/>
      </w:pPr>
      <w:r>
        <w:rPr>
          <w:rFonts w:ascii="Calibri" w:cs="Calibri" w:eastAsia="Calibri" w:hAnsi="Calibri"/>
          <w:sz w:val="21"/>
          <w:szCs w:val="21"/>
        </w:rPr>
        <w:t xml:space="preserve">Confirm which side of the phase-out range the household’s total taxable income falls on before assuming any wage or entity planning will affect the SSTB business’s QBI deduction — above the ceiling, that lever is simply unavailable for that specific business.</w:t>
      </w:r>
    </w:p>
    <w:p>
      <w:pPr>
        <w:pStyle w:val="ListParagraph"/>
        <w:numPr>
          <w:ilvl w:val="0"/>
          <w:numId w:val="2"/>
        </w:numPr>
        <w:spacing w:after="60" w:line="276"/>
      </w:pPr>
      <w:r>
        <w:rPr>
          <w:rFonts w:ascii="Calibri" w:cs="Calibri" w:eastAsia="Calibri" w:hAnsi="Calibri"/>
          <w:sz w:val="21"/>
          <w:szCs w:val="21"/>
        </w:rPr>
        <w:t xml:space="preserve">A household with income near the phase-out range has real reason to manage total taxable income deliberately (through retirement contributions, timing of income, or other deductions elsewhere in this guide) since crossing back below the ceiling can restore at least a partial SSTB deduction.</w:t>
      </w:r>
    </w:p>
    <w:p>
      <w:pPr>
        <w:pStyle w:val="ListParagraph"/>
        <w:numPr>
          <w:ilvl w:val="0"/>
          <w:numId w:val="2"/>
        </w:numPr>
        <w:spacing w:after="60" w:line="276"/>
      </w:pPr>
      <w:r>
        <w:rPr>
          <w:rFonts w:ascii="Calibri" w:cs="Calibri" w:eastAsia="Calibri" w:hAnsi="Calibri"/>
          <w:sz w:val="21"/>
          <w:szCs w:val="21"/>
        </w:rPr>
        <w:t xml:space="preserve">Confirm the specific business genuinely meets the definition of an SSTB before assuming the worst — a business that is adjacent to a listed field (for example, real estate brokerage, which is not consulting or financial services despite some surface similarity) may not be an SSTB at all.</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married couple's household taxable income sits well above the SSTB phase-out ceiling for their filing status. One spouse's dental practice — a health-field SSTB — generates $400,000 of qualified business income; at a 20% rate that would otherwise be an $80,000 deduction, but because household income is above the ceiling, the SSTB exclusion reduces it to exactly $0, regardless of how much W-2 wages the practice pays. The other spouse's real estate brokerage generates the same $400,000 of qualified business income and is not an SSTB, so its $80,000 potential deduction survives, limited only by the ordinary wage-based cap — as long as the brokerage pays enough W-2 wages (generally at least $160,000, for the 50%-of-wages test to support a full $80,000 deduction), the couple keeps the full $80,000 QBI deduction on that side of the household, while the dental practice's identical income produces nothing. Raising the dentist's own W-2 wages cannot fix this — above the ceiling, an SSTB's QBI deduction is zero regardless of wages paid — the only lever left is managing total household taxable income back down below the ceiling in a future year, through retirement contributions or other deductions, to restore even a partial deduction on the dental practice's income.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48. S-Corporation Shareholder Basis and the Excess-Distribution Trap (Form 7203)</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w:t>
      </w:r>
    </w:p>
    <w:p>
      <w:pPr>
        <w:spacing w:after="140" w:line="276"/>
      </w:pPr>
      <w:r>
        <w:rPr>
          <w:rFonts w:ascii="Calibri" w:cs="Calibri" w:eastAsia="Calibri" w:hAnsi="Calibri"/>
          <w:sz w:val="21"/>
          <w:szCs w:val="21"/>
        </w:rPr>
        <w:t xml:space="preserve">An S-corporation shareholder, like a partner in a partnership, can only receive distributions tax-free up to their basis in the corporation’s stock (and, separately, any loans they have personally made to the corporation). A shareholder who draws cash out of a fast-growing S corporation faster than their basis actually grows can cross into taxable territory without any obvious warning sign on the corporation’s own books, since a corporation can have plenty of cash on hand while a specific shareholder’s basis is comparatively low.</w:t>
      </w:r>
    </w:p>
    <w:p>
      <w:pPr>
        <w:pStyle w:val="Heading2"/>
        <w:spacing w:after="80" w:before="200"/>
      </w:pPr>
      <w:r>
        <w:rPr>
          <w:rFonts w:ascii="Calibri" w:cs="Calibri" w:eastAsia="Calibri" w:hAnsi="Calibri"/>
          <w:b/>
          <w:bCs/>
          <w:color w:val="2E5496"/>
          <w:sz w:val="24"/>
          <w:szCs w:val="24"/>
        </w:rPr>
        <w:t xml:space="preserve">How Shareholder Basis Works, and Why It Needs Its Own Tracking</w:t>
      </w:r>
    </w:p>
    <w:p>
      <w:pPr>
        <w:spacing w:after="140" w:line="276"/>
      </w:pPr>
      <w:r>
        <w:rPr>
          <w:rFonts w:ascii="Calibri" w:cs="Calibri" w:eastAsia="Calibri" w:hAnsi="Calibri"/>
          <w:sz w:val="21"/>
          <w:szCs w:val="21"/>
        </w:rPr>
        <w:t xml:space="preserve">A shareholder’s stock basis starts with what they paid or contributed for their shares and is adjusted every year: increased by their share of the corporation’s taxable income (and certain tax-exempt income), and decreased by their share of losses, nondeductible expenses, and distributions received. Under IRC § 1368, a cash distribution is tax-free to the extent of the shareholder’s stock basis; any distribution beyond that basis is treated as gain from the sale of stock — typically capital gain, but real, taxable income nonetheless, triggered simply by having drawn out more than the basis account can absorb.</w:t>
      </w:r>
    </w:p>
    <w:p>
      <w:pPr>
        <w:spacing w:after="140" w:line="276"/>
      </w:pPr>
      <w:r>
        <w:rPr>
          <w:rFonts w:ascii="Calibri" w:cs="Calibri" w:eastAsia="Calibri" w:hAnsi="Calibri"/>
          <w:sz w:val="21"/>
          <w:szCs w:val="21"/>
        </w:rPr>
        <w:t xml:space="preserve">This is tracked separately from the corporation’s own accumulated adjustments account (AAA), which measures the pool of the corporation’s previously-taxed earnings available for distribution at the entity level, and separately again from the corporation’s cash balance, which reflects nothing about any individual shareholder’s basis at all. A corporation can show a large cash balance and a healthy AAA while a specific shareholder’s personal stock basis — reduced by prior-year losses, or simply not having grown as fast as their draws — is comparatively thin, creating an excess-distribution problem that nothing on the corporation’s balance sheet would reveal on its own.</w:t>
      </w:r>
    </w:p>
    <w:p>
      <w:pPr>
        <w:spacing w:after="140" w:line="276"/>
      </w:pPr>
      <w:r>
        <w:rPr>
          <w:rFonts w:ascii="Calibri" w:cs="Calibri" w:eastAsia="Calibri" w:hAnsi="Calibri"/>
          <w:sz w:val="21"/>
          <w:szCs w:val="21"/>
        </w:rPr>
        <w:t xml:space="preserve">Form 7203 is the IRS form (now required to be filed with an individual shareholder’s return in many circumstances) that formally tracks a shareholder’s stock and debt basis year over year. Waiting until the return is prepared to calculate this for the first time, after a year of large draws has already happened, is far riskier than maintaining a running basis schedule throughout the year, updated as distributions actually occur, so an excess-distribution problem can be caught and addressed before it compounds further.</w:t>
      </w:r>
    </w:p>
    <w:p>
      <w:pPr>
        <w:pStyle w:val="ListParagraph"/>
        <w:numPr>
          <w:ilvl w:val="0"/>
          <w:numId w:val="2"/>
        </w:numPr>
        <w:spacing w:after="60" w:line="276"/>
      </w:pPr>
      <w:r>
        <w:rPr>
          <w:rFonts w:ascii="Calibri" w:cs="Calibri" w:eastAsia="Calibri" w:hAnsi="Calibri"/>
          <w:sz w:val="21"/>
          <w:szCs w:val="21"/>
        </w:rPr>
        <w:t xml:space="preserve">Update the shareholder basis schedule at least quarterly for any S corporation making regular distributions, not just once a year when the return is prepared — a running total makes it possible to slow or stop draws before basis is actually exceeded.</w:t>
      </w:r>
    </w:p>
    <w:p>
      <w:pPr>
        <w:pStyle w:val="ListParagraph"/>
        <w:numPr>
          <w:ilvl w:val="0"/>
          <w:numId w:val="2"/>
        </w:numPr>
        <w:spacing w:after="60" w:line="276"/>
      </w:pPr>
      <w:r>
        <w:rPr>
          <w:rFonts w:ascii="Calibri" w:cs="Calibri" w:eastAsia="Calibri" w:hAnsi="Calibri"/>
          <w:sz w:val="21"/>
          <w:szCs w:val="21"/>
        </w:rPr>
        <w:t xml:space="preserve">A shareholder’s basis in the corporation is separate from the corporation’s balance-sheet cash — a growing bank balance says nothing by itself about whether a specific shareholder still has room to draw tax-free.</w:t>
      </w:r>
    </w:p>
    <w:p>
      <w:pPr>
        <w:pStyle w:val="ListParagraph"/>
        <w:numPr>
          <w:ilvl w:val="0"/>
          <w:numId w:val="2"/>
        </w:numPr>
        <w:spacing w:after="60" w:line="276"/>
      </w:pPr>
      <w:r>
        <w:rPr>
          <w:rFonts w:ascii="Calibri" w:cs="Calibri" w:eastAsia="Calibri" w:hAnsi="Calibri"/>
          <w:sz w:val="21"/>
          <w:szCs w:val="21"/>
        </w:rPr>
        <w:t xml:space="preserve">Prior-year losses reduce basis (and, if large enough, can suspend a loss deduction entirely until basis is restored) — a business that had a loss year should specifically re-check shareholder basis before assuming normal distributions can resume at the prior pace.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S corporation's owner started the year with $80,000 of stock basis. The business had a strong year — $500,000 of taxable income allocated to him, which increases his basis to $580,000 — and, feeling flush, he drew $650,000 in distributions over the year to fund a home renovation and other personal spending. A basis review in November shows the problem: $650,000 of distributions against only $580,000 of available basis means $70,000 of the distributions exceed basis and are taxable as capital gain, even though the corporation itself remains highly profitable and cash-rich, and even though "the business had a great year" was exactly why he felt comfortable drawing that much. Had he checked his running basis schedule in September rather than waiting for year-end, he could have simply paused the last distribution or two and stayed under $580,000, avoiding the $70,000 of unplanned capital gain entirely — the fix costs nothing except checking a number that many S-corp owners never track until the return is already being prepared.</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49. Avoiding Real-Estate Dealer (Ordinary Income) Classification on Property Flips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Real Estate</w:t>
      </w:r>
    </w:p>
    <w:p>
      <w:pPr>
        <w:spacing w:after="140" w:line="276"/>
      </w:pPr>
      <w:r>
        <w:rPr>
          <w:rFonts w:ascii="Calibri" w:cs="Calibri" w:eastAsia="Calibri" w:hAnsi="Calibri"/>
          <w:sz w:val="21"/>
          <w:szCs w:val="21"/>
        </w:rPr>
        <w:t xml:space="preserve">A property bought with the intent to renovate and quickly resell for a profit — a "flip" — is generally taxed very differently from a property held as a long-term rental investment. Getting this classification right before the property is acquired (not after it is sold) determines whether the profit is taxed as ordinary self-employment income or as capital gain, and whether depreciation deductions taken along the way will simply be recaptured on sale.</w:t>
      </w:r>
    </w:p>
    <w:p>
      <w:pPr>
        <w:pStyle w:val="Heading2"/>
        <w:spacing w:after="80" w:before="200"/>
      </w:pPr>
      <w:r>
        <w:rPr>
          <w:rFonts w:ascii="Calibri" w:cs="Calibri" w:eastAsia="Calibri" w:hAnsi="Calibri"/>
          <w:b/>
          <w:bCs/>
          <w:color w:val="2E5496"/>
          <w:sz w:val="24"/>
          <w:szCs w:val="24"/>
        </w:rPr>
        <w:t xml:space="preserve">Dealer Property Versus Investment Property</w:t>
      </w:r>
    </w:p>
    <w:p>
      <w:pPr>
        <w:spacing w:after="140" w:line="276"/>
      </w:pPr>
      <w:r>
        <w:rPr>
          <w:rFonts w:ascii="Calibri" w:cs="Calibri" w:eastAsia="Calibri" w:hAnsi="Calibri"/>
          <w:sz w:val="21"/>
          <w:szCs w:val="21"/>
        </w:rPr>
        <w:t xml:space="preserve">IRC § 1221 excludes from the definition of a "capital asset" any property held primarily for sale to customers in the ordinary course of a trade or business — property meeting this description is often called "dealer property," and a taxpayer who regularly buys, renovates, and resells properties for a profit is generally treated as a real estate dealer with respect to those properties. Gain on a dealer property sale is ordinary income, not capital gain, and — because the activity is treated as an active trade or business rather than a passive investment — it is also subject to self-employment tax if held individually or through a pass-through entity taxed as a sole proprietorship or general partnership.</w:t>
      </w:r>
    </w:p>
    <w:p>
      <w:pPr>
        <w:spacing w:after="140" w:line="276"/>
      </w:pPr>
      <w:r>
        <w:rPr>
          <w:rFonts w:ascii="Calibri" w:cs="Calibri" w:eastAsia="Calibri" w:hAnsi="Calibri"/>
          <w:sz w:val="21"/>
          <w:szCs w:val="21"/>
        </w:rPr>
        <w:t xml:space="preserve">A property genuinely held for long-term rental or appreciation, by contrast, is an investment asset: gain on its eventual sale is capital gain (long-term if held more than a year), and there is no self-employment tax on the appreciation. Courts look at factors like the frequency and continuity of sales, the taxpayer’s intent at acquisition, how the property was marketed, and whether substantial improvements were made specifically to prepare it for a quick resale — no single factor controls, but a pattern of buying, quickly renovating, and reselling multiple properties in succession is the classic dealer fact pattern.</w:t>
      </w:r>
    </w:p>
    <w:p>
      <w:pPr>
        <w:spacing w:after="140" w:line="276"/>
      </w:pPr>
      <w:r>
        <w:rPr>
          <w:rFonts w:ascii="Calibri" w:cs="Calibri" w:eastAsia="Calibri" w:hAnsi="Calibri"/>
          <w:sz w:val="21"/>
          <w:szCs w:val="21"/>
        </w:rPr>
        <w:t xml:space="preserve">A serious, avoidable mistake is applying cost segregation and depreciation to a property that is actually intended to be flipped. Depreciation deductions taken on a property held only briefly, before a planned resale, are simply recaptured as ordinary income on that sale — the taxpayer accelerates a deduction only to give it right back, often at a worse effective rate once the property is correctly characterized as dealer property in the first place. Cost segregation is a tool for long-term-hold investment property, not for property acquired with a resale plan already in place.</w:t>
      </w:r>
    </w:p>
    <w:p>
      <w:pPr>
        <w:pStyle w:val="ListParagraph"/>
        <w:numPr>
          <w:ilvl w:val="0"/>
          <w:numId w:val="2"/>
        </w:numPr>
        <w:spacing w:after="60" w:line="276"/>
      </w:pPr>
      <w:r>
        <w:rPr>
          <w:rFonts w:ascii="Calibri" w:cs="Calibri" w:eastAsia="Calibri" w:hAnsi="Calibri"/>
          <w:sz w:val="21"/>
          <w:szCs w:val="21"/>
        </w:rPr>
        <w:t xml:space="preserve">Decide the intended holding strategy at acquisition, and structure and document accordingly — do not decide after the fact based on which tax treatment turns out to be more favorable once the outcome is known.</w:t>
      </w:r>
    </w:p>
    <w:p>
      <w:pPr>
        <w:pStyle w:val="ListParagraph"/>
        <w:numPr>
          <w:ilvl w:val="0"/>
          <w:numId w:val="2"/>
        </w:numPr>
        <w:spacing w:after="60" w:line="276"/>
      </w:pPr>
      <w:r>
        <w:rPr>
          <w:rFonts w:ascii="Calibri" w:cs="Calibri" w:eastAsia="Calibri" w:hAnsi="Calibri"/>
          <w:sz w:val="21"/>
          <w:szCs w:val="21"/>
        </w:rPr>
        <w:t xml:space="preserve">A taxpayer who does both — some properties genuinely held long-term as rentals, and other properties bought specifically to flip — should hold the two categories in separate entities, since mixing dealer activity and investment activity in the same entity muddies the character analysis for everything the entity holds.</w:t>
      </w:r>
    </w:p>
    <w:p>
      <w:pPr>
        <w:pStyle w:val="ListParagraph"/>
        <w:numPr>
          <w:ilvl w:val="0"/>
          <w:numId w:val="2"/>
        </w:numPr>
        <w:spacing w:after="60" w:line="276"/>
      </w:pPr>
      <w:r>
        <w:rPr>
          <w:rFonts w:ascii="Calibri" w:cs="Calibri" w:eastAsia="Calibri" w:hAnsi="Calibri"/>
          <w:sz w:val="21"/>
          <w:szCs w:val="21"/>
        </w:rPr>
        <w:t xml:space="preserve">Routing intended flip activity through an S corporation (rather than holding it individually or through a disregarded entity) at least confines the self-employment-tax exposure to a defensible reasonable-compensation amount, similar to the mechanics described in the reasonable-compensation strategy elsewhere in this guide, rather than exposing the entire flip profit to self-employment tax.</w:t>
      </w:r>
    </w:p>
    <w:p>
      <w:pPr>
        <w:pStyle w:val="ListParagraph"/>
        <w:numPr>
          <w:ilvl w:val="0"/>
          <w:numId w:val="2"/>
        </w:numPr>
        <w:spacing w:after="60" w:line="276"/>
      </w:pPr>
      <w:r>
        <w:rPr>
          <w:rFonts w:ascii="Calibri" w:cs="Calibri" w:eastAsia="Calibri" w:hAnsi="Calibri"/>
          <w:sz w:val="21"/>
          <w:szCs w:val="21"/>
        </w:rPr>
        <w:t xml:space="preserve">If a property was originally intended as a rental but circumstances change and it is sold shortly after purchase, document the change in intent and the business reasons for it — an isolated sale is far less likely to be treated as dealer activity than one property in a recognized pattern of frequent flips.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investor buys a distressed house for $250,000, spends $80,000 renovating it over four months, and resells it for $480,000 — a $150,000 profit. Because the property was bought, renovated, and resold quickly with the clear intent to flip (a pattern repeated across several properties that year), it is dealer property: the $150,000 is ordinary income, not capital gain, and — because the activity is an active trade or business — also subject to self-employment tax at 15.3%, an additional $22,950 beyond the ordinary income tax already due. Had the same investor instead routed this flip through an S-corporation paying herself a reasonable $60,000 salary for the work involved, self-employment-equivalent tax (FICA) would apply only to that $60,000 (roughly $9,180), with the remaining $90,000 of profit passed through as a distribution free of employment tax — a difference of nearly $14,000 in tax on the identical $150,000 profit, purely from choosing the right entity before the flip began rather than after it closed.</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50. The Self-Rental Trap When Renting Property to Your Own Business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Real Estate  ·  Cross-Entity / General Business</w:t>
      </w:r>
    </w:p>
    <w:p>
      <w:pPr>
        <w:spacing w:after="140" w:line="276"/>
      </w:pPr>
      <w:r>
        <w:rPr>
          <w:rFonts w:ascii="Calibri" w:cs="Calibri" w:eastAsia="Calibri" w:hAnsi="Calibri"/>
          <w:sz w:val="21"/>
          <w:szCs w:val="21"/>
        </w:rPr>
        <w:t xml:space="preserve">An owner who personally owns a building or other property and leases it to their own operating business is using a common and legitimate structure — but a specific rule flips the usual passive-activity treatment on its head for exactly this arrangement, in a way that surprises many owners the first time they encounter it, and it only works cleanly with a real, executed lease in place.</w:t>
      </w:r>
    </w:p>
    <w:p>
      <w:pPr>
        <w:pStyle w:val="Heading2"/>
        <w:spacing w:after="80" w:before="200"/>
      </w:pPr>
      <w:r>
        <w:rPr>
          <w:rFonts w:ascii="Calibri" w:cs="Calibri" w:eastAsia="Calibri" w:hAnsi="Calibri"/>
          <w:b/>
          <w:bCs/>
          <w:color w:val="2E5496"/>
          <w:sz w:val="24"/>
          <w:szCs w:val="24"/>
        </w:rPr>
        <w:t xml:space="preserve">Why Self-Rental Income and Self-Rental Losses Are Treated Asymmetrically</w:t>
      </w:r>
    </w:p>
    <w:p>
      <w:pPr>
        <w:spacing w:after="140" w:line="276"/>
      </w:pPr>
      <w:r>
        <w:rPr>
          <w:rFonts w:ascii="Calibri" w:cs="Calibri" w:eastAsia="Calibri" w:hAnsi="Calibri"/>
          <w:sz w:val="21"/>
          <w:szCs w:val="21"/>
        </w:rPr>
        <w:t xml:space="preserve">Rental real estate is ordinarily passive, meaning rental losses are trapped against passive income only. The self-rental rule under Treas. Reg. § 1.469-2(f)(6) creates a special, one-directional exception: when a taxpayer rents property to a business in which they materially participate, net rental income from that property is recharacterized as non-passive — even though the same activity would otherwise be treated as passive rental real estate. This recharacterization only runs one direction: if the same self-rental arrangement instead produces a loss in a given year, the loss remains passive and stays subject to the usual passive-loss limitations. Income gets pulled out of the passive basket; losses do not.</w:t>
      </w:r>
    </w:p>
    <w:p>
      <w:pPr>
        <w:spacing w:after="140" w:line="276"/>
      </w:pPr>
      <w:r>
        <w:rPr>
          <w:rFonts w:ascii="Calibri" w:cs="Calibri" w:eastAsia="Calibri" w:hAnsi="Calibri"/>
          <w:sz w:val="21"/>
          <w:szCs w:val="21"/>
        </w:rPr>
        <w:t xml:space="preserve">This asymmetry exists specifically to prevent a taxpayer from artificially generating "passive income" by renting property to their own active, non-passive business, and then using that manufactured passive income to absorb unrelated passive losses from other investments — the rule closes that particular loophole by making self-rental income non-passive (so it cannot serve that absorption purpose) while still limiting self-rental losses the normal way.</w:t>
      </w:r>
    </w:p>
    <w:p>
      <w:pPr>
        <w:spacing w:after="140" w:line="276"/>
      </w:pPr>
      <w:r>
        <w:rPr>
          <w:rFonts w:ascii="Calibri" w:cs="Calibri" w:eastAsia="Calibri" w:hAnsi="Calibri"/>
          <w:sz w:val="21"/>
          <w:szCs w:val="21"/>
        </w:rPr>
        <w:t xml:space="preserve">None of this works, and in fact creates worse exposure than simply not having the arrangement, without a genuine written lease at a defensible fair-market rental rate. Paying rent from a business to its owner with no executed lease agreement in place is not a self-rental income/loss characterization problem so much as a documentation problem that undermines the deductibility of the rent to the paying business and the characterization of the payment to the owner in the first place.</w:t>
      </w:r>
    </w:p>
    <w:p>
      <w:pPr>
        <w:pStyle w:val="ListParagraph"/>
        <w:numPr>
          <w:ilvl w:val="0"/>
          <w:numId w:val="2"/>
        </w:numPr>
        <w:spacing w:after="60" w:line="276"/>
      </w:pPr>
      <w:r>
        <w:rPr>
          <w:rFonts w:ascii="Calibri" w:cs="Calibri" w:eastAsia="Calibri" w:hAnsi="Calibri"/>
          <w:sz w:val="21"/>
          <w:szCs w:val="21"/>
        </w:rPr>
        <w:t xml:space="preserve">Execute a written lease between the owner (as landlord) and the business (as tenant) before rent starts flowing, specifying the rate, term, and property — not after the fact, and not left as an informal understanding even between the same person acting in two roles.</w:t>
      </w:r>
    </w:p>
    <w:p>
      <w:pPr>
        <w:pStyle w:val="ListParagraph"/>
        <w:numPr>
          <w:ilvl w:val="0"/>
          <w:numId w:val="2"/>
        </w:numPr>
        <w:spacing w:after="60" w:line="276"/>
      </w:pPr>
      <w:r>
        <w:rPr>
          <w:rFonts w:ascii="Calibri" w:cs="Calibri" w:eastAsia="Calibri" w:hAnsi="Calibri"/>
          <w:sz w:val="21"/>
          <w:szCs w:val="21"/>
        </w:rPr>
        <w:t xml:space="preserve">Set the rental rate at a defensible fair-market level, benchmarked against comparable local commercial rents for similar space — an inflated self-rental rate designed purely to shift income is a separate red flag from the passive-income recharacterization question itself.</w:t>
      </w:r>
    </w:p>
    <w:p>
      <w:pPr>
        <w:pStyle w:val="ListParagraph"/>
        <w:numPr>
          <w:ilvl w:val="0"/>
          <w:numId w:val="2"/>
        </w:numPr>
        <w:spacing w:after="60" w:line="276"/>
      </w:pPr>
      <w:r>
        <w:rPr>
          <w:rFonts w:ascii="Calibri" w:cs="Calibri" w:eastAsia="Calibri" w:hAnsi="Calibri"/>
          <w:sz w:val="21"/>
          <w:szCs w:val="21"/>
        </w:rPr>
        <w:t xml:space="preserve">Before assuming a loss year on the self-rental property can offset other passive income, confirm specifically that the loss remains passive under this rule — do not assume the same "non-passive" label that would apply to income-year results.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owner personally owns the $1,200,000 building his company operates out of and charges the company $8,000 per month ($96,000 per year) under a written lease benchmarked to comparable local commercial space. In a strong year, after mortgage interest and depreciation, the rental arrangement nets $40,000 of rental income. Because he materially participates in the operating business paying that rent, the $40,000 is recharacterized as non-passive income — it cannot be used to absorb $40,000 of unrelated passive losses he is carrying from a separate limited-partner investment, which instead remain suspended. The following year, a $60,000 roof replacement pushes the same rental arrangement into a $25,000 loss. That loss, unlike the prior year's income, remains fully passive under the one-directional self-rental rule — it cannot offset his six-figure W-2 wages from the operating business, even though the income side of the identical arrangement was non-passive just one year earlier.</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51. The Research &amp; Development (R&amp;D) Tax Credit and the Payroll-Tax Offset Election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w:t>
      </w:r>
    </w:p>
    <w:p>
      <w:pPr>
        <w:spacing w:after="140" w:line="276"/>
      </w:pPr>
      <w:r>
        <w:rPr>
          <w:rFonts w:ascii="Calibri" w:cs="Calibri" w:eastAsia="Calibri" w:hAnsi="Calibri"/>
          <w:sz w:val="21"/>
          <w:szCs w:val="21"/>
        </w:rPr>
        <w:t xml:space="preserve">A business that develops software, tests new processes, or otherwise engages in technical experimentation can generate a meaningful federal tax credit for that work under IRC § 41 — and, importantly for a pre-revenue or early-stage company with no income tax liability to offset, a special election lets a qualifying small business apply the credit against payroll tax instead, turning it into real cash savings even before the business is profitable.</w:t>
      </w:r>
    </w:p>
    <w:p>
      <w:pPr>
        <w:pStyle w:val="Heading2"/>
        <w:spacing w:after="80" w:before="200"/>
      </w:pPr>
      <w:r>
        <w:rPr>
          <w:rFonts w:ascii="Calibri" w:cs="Calibri" w:eastAsia="Calibri" w:hAnsi="Calibri"/>
          <w:b/>
          <w:bCs/>
          <w:color w:val="2E5496"/>
          <w:sz w:val="24"/>
          <w:szCs w:val="24"/>
        </w:rPr>
        <w:t xml:space="preserve">Qualifying Research and the Four-Part Test</w:t>
      </w:r>
    </w:p>
    <w:p>
      <w:pPr>
        <w:spacing w:after="140" w:line="276"/>
      </w:pPr>
      <w:r>
        <w:rPr>
          <w:rFonts w:ascii="Calibri" w:cs="Calibri" w:eastAsia="Calibri" w:hAnsi="Calibri"/>
          <w:sz w:val="21"/>
          <w:szCs w:val="21"/>
        </w:rPr>
        <w:t xml:space="preserve">To qualify as "research" for this credit, an activity generally must satisfy a four-part test: it must be intended to eliminate technical uncertainty about the development or improvement of a product or process; it must rely on a process of experimentation (evaluating alternatives, testing, iterating); it must be technological in nature (grounded in the hard sciences, engineering, or computer science); and it must relate to a permitted purpose (developing or improving functionality, performance, reliability, or quality). Software development, engineering iteration, and technical process improvement commonly qualify; routine data collection, market research, and work after a product is already commercially available generally do not.</w:t>
      </w:r>
    </w:p>
    <w:p>
      <w:pPr>
        <w:spacing w:after="140" w:line="276"/>
      </w:pPr>
      <w:r>
        <w:rPr>
          <w:rFonts w:ascii="Calibri" w:cs="Calibri" w:eastAsia="Calibri" w:hAnsi="Calibri"/>
          <w:sz w:val="21"/>
          <w:szCs w:val="21"/>
        </w:rPr>
        <w:t xml:space="preserve">Qualified research expenses (QREs) — the base the credit is calculated from — typically include a portion of wages paid to employees performing, supervising, or directly supporting the qualified research, a portion of supply costs consumed in the research, and a portion of contract research expenses paid to outside parties who perform qualifying work. Building a defensible QRE schedule requires identifying which employees’ time (and what percentage of it) was actually spent on qualifying activities, supported by contemporaneous project records, not a reconstruction after the fact.</w:t>
      </w:r>
    </w:p>
    <w:p>
      <w:pPr>
        <w:spacing w:after="140" w:line="276"/>
      </w:pPr>
      <w:r>
        <w:rPr>
          <w:rFonts w:ascii="Calibri" w:cs="Calibri" w:eastAsia="Calibri" w:hAnsi="Calibri"/>
          <w:sz w:val="21"/>
          <w:szCs w:val="21"/>
        </w:rPr>
        <w:t xml:space="preserve">A qualifying small business — generally one with gross receipts below a statutory threshold and less than five years of gross receipts history — can elect under IRC § 41(h) to apply up to a capped annual amount of the credit against the employer’s share of payroll tax, rather than against income tax. This is specifically valuable for a business that is investing heavily in development but has little or no income tax liability yet (a common profile for an early-stage technology venture) — the credit becomes real, immediate cash savings on payroll tax deposits instead of a credit that simply carries forward unused against income tax the business is not yet paying.</w:t>
      </w:r>
    </w:p>
    <w:p>
      <w:pPr>
        <w:pStyle w:val="ListParagraph"/>
        <w:numPr>
          <w:ilvl w:val="0"/>
          <w:numId w:val="2"/>
        </w:numPr>
        <w:spacing w:after="60" w:line="276"/>
      </w:pPr>
      <w:r>
        <w:rPr>
          <w:rFonts w:ascii="Calibri" w:cs="Calibri" w:eastAsia="Calibri" w:hAnsi="Calibri"/>
          <w:sz w:val="21"/>
          <w:szCs w:val="21"/>
        </w:rPr>
        <w:t xml:space="preserve">Keep contemporaneous project documentation — time tracking by project, technical specifications, iteration notes — since reconstructing a QRE schedule long after the work was done is far weaker evidence than records built alongside the actual work.</w:t>
      </w:r>
    </w:p>
    <w:p>
      <w:pPr>
        <w:pStyle w:val="ListParagraph"/>
        <w:numPr>
          <w:ilvl w:val="0"/>
          <w:numId w:val="2"/>
        </w:numPr>
        <w:spacing w:after="60" w:line="276"/>
      </w:pPr>
      <w:r>
        <w:rPr>
          <w:rFonts w:ascii="Calibri" w:cs="Calibri" w:eastAsia="Calibri" w:hAnsi="Calibri"/>
          <w:sz w:val="21"/>
          <w:szCs w:val="21"/>
        </w:rPr>
        <w:t xml:space="preserve">If a related but distinct venture is being developed inside an existing operating business (a common pattern when a new technology product is built using an established company’s staff and cash), consider whether the R&amp;D credit is better preserved for a future standalone entity housing that venture, rather than claimed inside the existing business — particularly if the existing business has other reasons (such as protecting a future qualified small business stock position) to keep the new venture’s costs and activities cleanly separated.</w:t>
      </w:r>
    </w:p>
    <w:p>
      <w:pPr>
        <w:pStyle w:val="ListParagraph"/>
        <w:numPr>
          <w:ilvl w:val="0"/>
          <w:numId w:val="2"/>
        </w:numPr>
        <w:spacing w:after="60" w:line="276"/>
      </w:pPr>
      <w:r>
        <w:rPr>
          <w:rFonts w:ascii="Calibri" w:cs="Calibri" w:eastAsia="Calibri" w:hAnsi="Calibri"/>
          <w:sz w:val="21"/>
          <w:szCs w:val="21"/>
        </w:rPr>
        <w:t xml:space="preserve">The payroll-tax offset election has its own specific eligibility thresholds and annual caps, and is made on the timely filed return for the year — confirm current eligibility figures and the election mechanics before assuming a given year qualifies.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early-stage technology company pays a developer to build a new software feature involving genuine technical uncertainty and iterative testing, along with cloud-hosting and API costs directly tied to that development. The company identifies roughly $32,000 of qualified research expenses for the year, all four parts of the test are satisfied, and because the company qualifies as a small business with no current income tax liability, it elects to apply the resulting credit against its payroll tax deposits instead — turning the credit into immediate cash savings rather than an unused carryforward against income tax it is not yet paying.</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52. The Foreign Earned Income Exclusion (§911) for Americans Working Abroad</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w:t>
      </w:r>
    </w:p>
    <w:p>
      <w:pPr>
        <w:spacing w:after="140" w:line="276"/>
      </w:pPr>
      <w:r>
        <w:rPr>
          <w:rFonts w:ascii="Calibri" w:cs="Calibri" w:eastAsia="Calibri" w:hAnsi="Calibri"/>
          <w:sz w:val="21"/>
          <w:szCs w:val="21"/>
        </w:rPr>
        <w:t xml:space="preserve">A U.S. citizen or resident who lives and works abroad can exclude a substantial amount of foreign earned income from U.S. federal income tax each year under IRC § 911 — a meaningful benefit for anyone relocating for work, but one that depends on meeting a specific residency or physical-presence test and applies only to earned income, not to investment income or income sourced from work performed while physically in the United States.</w:t>
      </w:r>
    </w:p>
    <w:p>
      <w:pPr>
        <w:pStyle w:val="Heading2"/>
        <w:spacing w:after="80" w:before="200"/>
      </w:pPr>
      <w:r>
        <w:rPr>
          <w:rFonts w:ascii="Calibri" w:cs="Calibri" w:eastAsia="Calibri" w:hAnsi="Calibri"/>
          <w:b/>
          <w:bCs/>
          <w:color w:val="2E5496"/>
          <w:sz w:val="24"/>
          <w:szCs w:val="24"/>
        </w:rPr>
        <w:t xml:space="preserve">Qualifying for the Exclusion, and What It Does and Does Not Cover</w:t>
      </w:r>
    </w:p>
    <w:p>
      <w:pPr>
        <w:spacing w:after="140" w:line="276"/>
      </w:pPr>
      <w:r>
        <w:rPr>
          <w:rFonts w:ascii="Calibri" w:cs="Calibri" w:eastAsia="Calibri" w:hAnsi="Calibri"/>
          <w:sz w:val="21"/>
          <w:szCs w:val="21"/>
        </w:rPr>
        <w:t xml:space="preserve">The exclusion is available to a taxpayer who qualifies under either of two tests: the bona fide residence test (establishing genuine residency in a foreign country for an uninterrupted period that includes a full tax year, based on facts and circumstances like intent, family location, and community ties) or the physical presence test (being physically present in one or more foreign countries for at least 330 full days during any 12-consecutive-month period — a bright-line, easier-to-document mechanical test that does not require establishing genuine residency, only counting days). Many taxpayers who relocate abroad qualify under the physical-presence test first, since it depends only on a day count rather than a more subjective residency determination.</w:t>
      </w:r>
    </w:p>
    <w:p>
      <w:pPr>
        <w:spacing w:after="140" w:line="276"/>
      </w:pPr>
      <w:r>
        <w:rPr>
          <w:rFonts w:ascii="Calibri" w:cs="Calibri" w:eastAsia="Calibri" w:hAnsi="Calibri"/>
          <w:sz w:val="21"/>
          <w:szCs w:val="21"/>
        </w:rPr>
        <w:t xml:space="preserve">Once qualified, a taxpayer can exclude foreign earned income — wages, salary, or self-employment income for services performed while abroad — up to an annually adjusted statutory limit per qualifying individual. A married couple who both work and both qualify can each claim the exclusion separately, effectively doubling the household benefit. A separate housing exclusion or deduction is also available for certain foreign housing costs above a base amount, on top of the earned-income exclusion itself.</w:t>
      </w:r>
    </w:p>
    <w:p>
      <w:pPr>
        <w:spacing w:after="140" w:line="276"/>
      </w:pPr>
      <w:r>
        <w:rPr>
          <w:rFonts w:ascii="Calibri" w:cs="Calibri" w:eastAsia="Calibri" w:hAnsi="Calibri"/>
          <w:sz w:val="21"/>
          <w:szCs w:val="21"/>
        </w:rPr>
        <w:t xml:space="preserve">The exclusion applies only to earned income for work actually performed while physically present outside the United States — it does not apply to investment income (interest, dividends, capital gains), to a pension, or to compensation for work actually performed during any days physically present back in the United States during the year, which must be carved out of the earned-income calculation even for someone who otherwise qualifies for the exclusion overall.</w:t>
      </w:r>
    </w:p>
    <w:p>
      <w:pPr>
        <w:pStyle w:val="ListParagraph"/>
        <w:numPr>
          <w:ilvl w:val="0"/>
          <w:numId w:val="2"/>
        </w:numPr>
        <w:spacing w:after="60" w:line="276"/>
      </w:pPr>
      <w:r>
        <w:rPr>
          <w:rFonts w:ascii="Calibri" w:cs="Calibri" w:eastAsia="Calibri" w:hAnsi="Calibri"/>
          <w:sz w:val="21"/>
          <w:szCs w:val="21"/>
        </w:rPr>
        <w:t xml:space="preserve">Track physical presence carefully if relying on the 330-day test — the count is by full calendar day, in specific foreign countries, and travel days and any time back in the United States can jeopardize qualification if not tracked precisely.</w:t>
      </w:r>
    </w:p>
    <w:p>
      <w:pPr>
        <w:pStyle w:val="ListParagraph"/>
        <w:numPr>
          <w:ilvl w:val="0"/>
          <w:numId w:val="2"/>
        </w:numPr>
        <w:spacing w:after="60" w:line="276"/>
      </w:pPr>
      <w:r>
        <w:rPr>
          <w:rFonts w:ascii="Calibri" w:cs="Calibri" w:eastAsia="Calibri" w:hAnsi="Calibri"/>
          <w:sz w:val="21"/>
          <w:szCs w:val="21"/>
        </w:rPr>
        <w:t xml:space="preserve">This is generally not useful, and not something to plan around, for a taxpayer who is not actually planning a genuine relocation — the tests require real time abroad or genuine residency, not a token or symbolic presence.</w:t>
      </w:r>
    </w:p>
    <w:p>
      <w:pPr>
        <w:pStyle w:val="ListParagraph"/>
        <w:numPr>
          <w:ilvl w:val="0"/>
          <w:numId w:val="2"/>
        </w:numPr>
        <w:spacing w:after="60" w:line="276"/>
      </w:pPr>
      <w:r>
        <w:rPr>
          <w:rFonts w:ascii="Calibri" w:cs="Calibri" w:eastAsia="Calibri" w:hAnsi="Calibri"/>
          <w:sz w:val="21"/>
          <w:szCs w:val="21"/>
        </w:rPr>
        <w:t xml:space="preserve">Some employers offer a "tax equalization" or relocation reimbursement structured around § 911 mechanics for employees sent abroad — confirm how any employer-provided relocation package interacts with the exclusion before assuming the full statutory benefit applies on top of it.</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married couple is considering relocating abroad for at least a year, with both spouses continuing to work remotely for their respective employers or businesses. By meeting the 330-day physical presence test in their destination country, each spouse can separately exclude a substantial amount of their foreign-earned wages from U.S. federal income tax — a combined household exclusion covering a meaningful share of their total earned income for the year, though any investment income they continue to receive from U.S. brokerage accounts remains fully taxable regardless of where they live.</w:t>
      </w:r>
    </w:p>
    <w:p>
      <w:pPr>
        <w:pStyle w:val="Heading2"/>
        <w:spacing w:after="80" w:before="200"/>
      </w:pPr>
      <w:r>
        <w:rPr>
          <w:rFonts w:ascii="Calibri" w:cs="Calibri" w:eastAsia="Calibri" w:hAnsi="Calibri"/>
          <w:b/>
          <w:bCs/>
          <w:color w:val="2E5496"/>
          <w:sz w:val="24"/>
          <w:szCs w:val="24"/>
        </w:rPr>
        <w:t xml:space="preserve">The Hidden Haircut for Self-Employed Filers, and How an S-Corp Avoids It</w:t>
      </w:r>
    </w:p>
    <w:p>
      <w:pPr>
        <w:spacing w:after="140" w:line="276"/>
      </w:pPr>
      <w:r>
        <w:rPr>
          <w:rFonts w:ascii="Calibri" w:cs="Calibri" w:eastAsia="Calibri" w:hAnsi="Calibri"/>
          <w:sz w:val="21"/>
          <w:szCs w:val="21"/>
        </w:rPr>
        <w:t xml:space="preserve">A self-employed taxpayer operating abroad through a sole proprietorship (Schedule C) or a disregarded LLC often assumes the full statutory FEIE cap is simply theirs to exclude. In practice, Treas. Reg. § 1.911-6 requires a pro-rata share of the business’s deductible expenses to be allocated against the excluded foreign earned income — and that allocated portion of expenses becomes non-deductible, since a taxpayer cannot both exclude the income the expenses relate to and separately deduct those same expenses. For a business with substantial operating expenses relative to its profit, this allocation can quietly cut the net benefit of the exclusion to a fraction of the headline cap.</w:t>
      </w:r>
    </w:p>
    <w:p>
      <w:pPr>
        <w:spacing w:after="140" w:line="276"/>
      </w:pPr>
      <w:r>
        <w:rPr>
          <w:rFonts w:ascii="Calibri" w:cs="Calibri" w:eastAsia="Calibri" w:hAnsi="Calibri"/>
          <w:sz w:val="21"/>
          <w:szCs w:val="21"/>
        </w:rPr>
        <w:t xml:space="preserve">Restructuring the business as an S corporation changes this materially. The owner’s reasonable-compensation W-2 wage becomes its own separate income line on their personal return, with the business’s operating expenses now sitting on the corporation’s own return (Form 1120-S) rather than netted against the owner’s personal earned income. Because there are no business deductions sitting next to the W-2 wage on the owner’s personal return, the § 1.911-6 expense-allocation haircut has nothing to attach to — the wage is excluded up to the full statutory cap, undiminished. The distribution portion above the wage is not earned income and cannot be excluded under § 911 either way, but it is also not subject to self-employment tax, which is a separate, additional benefit of the same restructuring (see the reasonable-compensation and S-corp timing strategies elsewhere in this guide).</w:t>
      </w:r>
    </w:p>
    <w:p>
      <w:pPr>
        <w:pStyle w:val="ListParagraph"/>
        <w:numPr>
          <w:ilvl w:val="0"/>
          <w:numId w:val="2"/>
        </w:numPr>
        <w:spacing w:after="60" w:line="276"/>
      </w:pPr>
      <w:r>
        <w:rPr>
          <w:rFonts w:ascii="Calibri" w:cs="Calibri" w:eastAsia="Calibri" w:hAnsi="Calibri"/>
          <w:sz w:val="21"/>
          <w:szCs w:val="21"/>
        </w:rPr>
        <w:t xml:space="preserve">Before assuming the full FEIE cap applies to self-employment income, check whether the § 1.911-6 expense allocation is being applied correctly on the return — a business with meaningful operating expenses relative to its profit can see the net exclusion cut by half or more of the headline cap.</w:t>
      </w:r>
    </w:p>
    <w:p>
      <w:pPr>
        <w:pStyle w:val="ListParagraph"/>
        <w:numPr>
          <w:ilvl w:val="0"/>
          <w:numId w:val="2"/>
        </w:numPr>
        <w:spacing w:after="60" w:line="276"/>
      </w:pPr>
      <w:r>
        <w:rPr>
          <w:rFonts w:ascii="Calibri" w:cs="Calibri" w:eastAsia="Calibri" w:hAnsi="Calibri"/>
          <w:sz w:val="21"/>
          <w:szCs w:val="21"/>
        </w:rPr>
        <w:t xml:space="preserve">Sizing the reasonable-compensation wage deliberately matters here: a wage set too low forfeits FEIE capacity that could otherwise be captured in full, while a wage set at or near the statutory FEIE cap (subject to remaining a defensible reasonable-compensation figure for the role) captures the maximum exclusion available.</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This haircut is easy to miss precisely because it does not appear as a separate line item anywhere — it shows up only as a smaller-than-expected net exclusion once the return is fully prepared, which is why comparing the actual net FEIE benefit on a filed self-employed return against the theoretical statutory cap is worth doing explicitly, rather than assuming the two match.</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53. Aggregating Multiple Businesses for the QBI Wage Limitation (§ 1.199A-4)</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  ·  Partnership / LLC</w:t>
      </w:r>
    </w:p>
    <w:p>
      <w:pPr>
        <w:spacing w:after="140" w:line="276"/>
      </w:pPr>
      <w:r>
        <w:rPr>
          <w:rFonts w:ascii="Calibri" w:cs="Calibri" w:eastAsia="Calibri" w:hAnsi="Calibri"/>
          <w:sz w:val="21"/>
          <w:szCs w:val="21"/>
        </w:rPr>
        <w:t xml:space="preserve">A taxpayer who owns interests in more than one pass-through business — for instance, an operating company with substantial W-2 wages, and a related business with little or no wage expense of its own — may be able to elect to treat the businesses as a single, combined activity for purposes of the QBI wage limitation, letting one business’s wages support QBI deduction on the combined group’s income rather than leaving the low-wage business’s share of the deduction stranded at zero.</w:t>
      </w:r>
    </w:p>
    <w:p>
      <w:pPr>
        <w:pStyle w:val="Heading2"/>
        <w:spacing w:after="80" w:before="200"/>
      </w:pPr>
      <w:r>
        <w:rPr>
          <w:rFonts w:ascii="Calibri" w:cs="Calibri" w:eastAsia="Calibri" w:hAnsi="Calibri"/>
          <w:b/>
          <w:bCs/>
          <w:color w:val="2E5496"/>
          <w:sz w:val="24"/>
          <w:szCs w:val="24"/>
        </w:rPr>
        <w:t xml:space="preserve">Why Aggregation Can Rescue an Otherwise-Wasted QBI Deduction</w:t>
      </w:r>
    </w:p>
    <w:p>
      <w:pPr>
        <w:spacing w:after="140" w:line="276"/>
      </w:pPr>
      <w:r>
        <w:rPr>
          <w:rFonts w:ascii="Calibri" w:cs="Calibri" w:eastAsia="Calibri" w:hAnsi="Calibri"/>
          <w:sz w:val="21"/>
          <w:szCs w:val="21"/>
        </w:rPr>
        <w:t xml:space="preserve">The QBI wage limitation (discussed in the wage true-up strategy elsewhere in this guide) caps each business’s deduction based on that specific business’s own W-2 wages. A business that has no employees and pays no wages of its own — a passive-feeling sales or holding vehicle, for instance, whose work is genuinely performed by people employed at a related company — can find its entire QBI deduction capped at zero under the wage test, even though its owner’s overall combined income across all their businesses would otherwise support a large deduction.</w:t>
      </w:r>
    </w:p>
    <w:p>
      <w:pPr>
        <w:spacing w:after="140" w:line="276"/>
      </w:pPr>
      <w:r>
        <w:rPr>
          <w:rFonts w:ascii="Calibri" w:cs="Calibri" w:eastAsia="Calibri" w:hAnsi="Calibri"/>
          <w:sz w:val="21"/>
          <w:szCs w:val="21"/>
        </w:rPr>
        <w:t xml:space="preserve">Treas. Reg. § 1.199A-4 permits multiple trades or businesses to be aggregated and treated as one for purposes of computing the QBI deduction — including the wage limitation — if a specific set of conditions is met: the same person or group of people must own a majority interest in each business being aggregated, none of the businesses can be a specified service trade or business (see the SSTB strategy elsewhere in this guide — an SSTB cannot be aggregated into the deduction this way regardless of common ownership), and the businesses must satisfy at least two of three factors showing they operate as an integrated group (shared products/services or customers, shared facilities or centralized business elements, or operation in coordination with or reliance upon each other).</w:t>
      </w:r>
    </w:p>
    <w:p>
      <w:pPr>
        <w:spacing w:after="140" w:line="276"/>
      </w:pPr>
      <w:r>
        <w:rPr>
          <w:rFonts w:ascii="Calibri" w:cs="Calibri" w:eastAsia="Calibri" w:hAnsi="Calibri"/>
          <w:sz w:val="21"/>
          <w:szCs w:val="21"/>
        </w:rPr>
        <w:t xml:space="preserve">Once validly aggregated, the group’s combined W-2 wages (not just the specific business generating the income) support the wage limitation calculation for the combined QBI — meaning a wage-rich operating business can effectively lend its wage base to a related, wage-poor business’s income for purposes of this specific calculation, potentially rescuing a deduction that would otherwise be capped at zero.</w:t>
      </w:r>
    </w:p>
    <w:p>
      <w:pPr>
        <w:pStyle w:val="ListParagraph"/>
        <w:numPr>
          <w:ilvl w:val="0"/>
          <w:numId w:val="2"/>
        </w:numPr>
        <w:spacing w:after="60" w:line="276"/>
      </w:pPr>
      <w:r>
        <w:rPr>
          <w:rFonts w:ascii="Calibri" w:cs="Calibri" w:eastAsia="Calibri" w:hAnsi="Calibri"/>
          <w:sz w:val="21"/>
          <w:szCs w:val="21"/>
        </w:rPr>
        <w:t xml:space="preserve">The aggregation election is made annually and, once made, must generally be applied consistently in future years — it is not something to elect and un-elect as circumstances change without a good, disclosed reason.</w:t>
      </w:r>
    </w:p>
    <w:p>
      <w:pPr>
        <w:pStyle w:val="ListParagraph"/>
        <w:numPr>
          <w:ilvl w:val="0"/>
          <w:numId w:val="2"/>
        </w:numPr>
        <w:spacing w:after="60" w:line="276"/>
      </w:pPr>
      <w:r>
        <w:rPr>
          <w:rFonts w:ascii="Calibri" w:cs="Calibri" w:eastAsia="Calibri" w:hAnsi="Calibri"/>
          <w:sz w:val="21"/>
          <w:szCs w:val="21"/>
        </w:rPr>
        <w:t xml:space="preserve">Common ownership is measured precisely — confirm the actual ownership percentages across all the businesses in question meet the majority-ownership threshold before assuming aggregation is available, since a cap-table or K-1 percentage that looks close on paper may not clear the exact legal threshold.</w:t>
      </w:r>
    </w:p>
    <w:p>
      <w:pPr>
        <w:pStyle w:val="ListParagraph"/>
        <w:numPr>
          <w:ilvl w:val="0"/>
          <w:numId w:val="2"/>
        </w:numPr>
        <w:spacing w:after="60" w:line="276"/>
      </w:pPr>
      <w:r>
        <w:rPr>
          <w:rFonts w:ascii="Calibri" w:cs="Calibri" w:eastAsia="Calibri" w:hAnsi="Calibri"/>
          <w:sz w:val="21"/>
          <w:szCs w:val="21"/>
        </w:rPr>
        <w:t xml:space="preserve">None of the businesses being aggregated can be an SSTB — a business that is otherwise eligible for QBI but happens to also own a stake in an SSTB cannot use aggregation to rescue the SSTB’s own deduction, since the SSTB exclusion applies regardless of what it is aggregated with.</w:t>
      </w:r>
    </w:p>
    <w:p>
      <w:pPr>
        <w:pStyle w:val="ListParagraph"/>
        <w:numPr>
          <w:ilvl w:val="0"/>
          <w:numId w:val="2"/>
        </w:numPr>
        <w:spacing w:after="60" w:line="276"/>
      </w:pPr>
      <w:r>
        <w:rPr>
          <w:rFonts w:ascii="Calibri" w:cs="Calibri" w:eastAsia="Calibri" w:hAnsi="Calibri"/>
          <w:sz w:val="21"/>
          <w:szCs w:val="21"/>
        </w:rPr>
        <w:t xml:space="preserve">Document the specific factors supporting integration (shared operations, shared customers, coordinated business elements) in the year the election is made — this is a facts-based election, not an automatic entitlement simply because the same person owns both businesses.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entrepreneur owns 95% of an operating company that pays $900,000 in W-2 wages and generates $500,000 of qualified business income, and 75% (through that same operating company) of a related sales partnership with no employees of its own that generates $300,000 of qualified business income. Standalone, the sales partnership's QBI deduction is capped at zero, since the wage limitation (generally the greater of 50% of W-2 wages, or 25% of wages plus a small percentage of qualified property) requires wages the partnership simply does not have — a $60,000 deduction (20% of $300,000) reduced to nothing. Because ownership is common, neither business is an SSTB, and the two share customers and coordinated operations, the owner makes a valid § 1.199A-4 aggregation election. Combined QBI is $800,000 ($500,000 + $300,000), and the combined wage base is $900,000 (all from the operating company) — comfortably supporting the full 20% deduction on the combined income, or $160,000, versus just $100,000 (20% of the operating company's $500,000 alone) without aggregation. The election preserves $60,000 of deduction that would otherwise have been permanently lost on the sales partnership's share of income.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54. The Foreign Tax Credit for Taxes Paid to a Foreign Government</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w:t>
      </w:r>
    </w:p>
    <w:p>
      <w:pPr>
        <w:spacing w:after="140" w:line="276"/>
      </w:pPr>
      <w:r>
        <w:rPr>
          <w:rFonts w:ascii="Calibri" w:cs="Calibri" w:eastAsia="Calibri" w:hAnsi="Calibri"/>
          <w:sz w:val="21"/>
          <w:szCs w:val="21"/>
        </w:rPr>
        <w:t xml:space="preserve">A U.S. taxpayer who pays income tax to a foreign country on income that is also taxed by the United States can generally claim a credit for the foreign tax paid, dollar for dollar (up to a limitation), rather than simply absorbing both taxes on the same income. For anyone with foreign business operations, foreign investment income, or wages earned abroad that are not fully excluded some other way, claiming this credit correctly is often a large and simply overlooked opportunity — many taxpayers under-claim it or fail to document it at all.</w:t>
      </w:r>
    </w:p>
    <w:p>
      <w:pPr>
        <w:pStyle w:val="Heading2"/>
        <w:spacing w:after="80" w:before="200"/>
      </w:pPr>
      <w:r>
        <w:rPr>
          <w:rFonts w:ascii="Calibri" w:cs="Calibri" w:eastAsia="Calibri" w:hAnsi="Calibri"/>
          <w:b/>
          <w:bCs/>
          <w:color w:val="2E5496"/>
          <w:sz w:val="24"/>
          <w:szCs w:val="24"/>
        </w:rPr>
        <w:t xml:space="preserve">Why This Credit Is Easy to Leave on the Table</w:t>
      </w:r>
    </w:p>
    <w:p>
      <w:pPr>
        <w:spacing w:after="140" w:line="276"/>
      </w:pPr>
      <w:r>
        <w:rPr>
          <w:rFonts w:ascii="Calibri" w:cs="Calibri" w:eastAsia="Calibri" w:hAnsi="Calibri"/>
          <w:sz w:val="21"/>
          <w:szCs w:val="21"/>
        </w:rPr>
        <w:t xml:space="preserve">The United States taxes its citizens and residents on worldwide income, which creates the possibility of the same income being taxed twice — once by the country where it was earned, and again by the United States. IRC § 901 addresses this by allowing a credit (not merely a deduction) for foreign income taxes paid or accrued, which reduces U.S. tax liability dollar-for-dollar up to a calculated limitation under § 904 (broadly, the U.S. tax attributable to the foreign-source income, computed separately for different categories of income).</w:t>
      </w:r>
    </w:p>
    <w:p>
      <w:pPr>
        <w:spacing w:after="140" w:line="276"/>
      </w:pPr>
      <w:r>
        <w:rPr>
          <w:rFonts w:ascii="Calibri" w:cs="Calibri" w:eastAsia="Calibri" w:hAnsi="Calibri"/>
          <w:sz w:val="21"/>
          <w:szCs w:val="21"/>
        </w:rPr>
        <w:t xml:space="preserve">A common and costly mistake is failing to document and claim foreign tax actually paid — particularly for a U.S. business operating abroad through a branch or disregarded entity, where the foreign country may assess its own income tax, payroll tax, or value-added tax on the operation, none of which shows up automatically on a U.S. tax return unless it is affirmatively tracked and claimed. A taxpayer who only reports U.S.-side numbers, without a parallel record of foreign tax actually paid, misses this credit entirely — effectively paying full tax to both countries on the same income.</w:t>
      </w:r>
    </w:p>
    <w:p>
      <w:pPr>
        <w:spacing w:after="140" w:line="276"/>
      </w:pPr>
      <w:r>
        <w:rPr>
          <w:rFonts w:ascii="Calibri" w:cs="Calibri" w:eastAsia="Calibri" w:hAnsi="Calibri"/>
          <w:sz w:val="21"/>
          <w:szCs w:val="21"/>
        </w:rPr>
        <w:t xml:space="preserve">The credit interacts with, but is separate from, the foreign earned income exclusion (§ 911, discussed elsewhere in this guide): income that is excluded under the FEIE cannot also generate a foreign tax credit (there is no credit for tax paid on income that was never taxed by the U.S. in the first place), but foreign tax paid on income above the FEIE exclusion amount, or on income not eligible for the exclusion at all (such as passive investment income, or business profit taxed at the entity level abroad), can still generate a real credit.</w:t>
      </w:r>
    </w:p>
    <w:p>
      <w:pPr>
        <w:pStyle w:val="ListParagraph"/>
        <w:numPr>
          <w:ilvl w:val="0"/>
          <w:numId w:val="2"/>
        </w:numPr>
        <w:spacing w:after="60" w:line="276"/>
      </w:pPr>
      <w:r>
        <w:rPr>
          <w:rFonts w:ascii="Calibri" w:cs="Calibri" w:eastAsia="Calibri" w:hAnsi="Calibri"/>
          <w:sz w:val="21"/>
          <w:szCs w:val="21"/>
        </w:rPr>
        <w:t xml:space="preserve">Track foreign income tax actually paid or accrued as its own line item, year by year, with the underlying foreign tax filings and payment records — the credit is only as strong as the documentation behind it.</w:t>
      </w:r>
    </w:p>
    <w:p>
      <w:pPr>
        <w:pStyle w:val="ListParagraph"/>
        <w:numPr>
          <w:ilvl w:val="0"/>
          <w:numId w:val="2"/>
        </w:numPr>
        <w:spacing w:after="60" w:line="276"/>
      </w:pPr>
      <w:r>
        <w:rPr>
          <w:rFonts w:ascii="Calibri" w:cs="Calibri" w:eastAsia="Calibri" w:hAnsi="Calibri"/>
          <w:sz w:val="21"/>
          <w:szCs w:val="21"/>
        </w:rPr>
        <w:t xml:space="preserve">Coordinate the FTC and FEIE elections together rather than treating them as independent — depending on the income mix, using less of the FEIE exclusion and claiming more foreign tax credit (or vice versa) can sometimes produce a better combined result, particularly once the FEIE cap and the housing exclusion are also in play.</w:t>
      </w:r>
    </w:p>
    <w:p>
      <w:pPr>
        <w:pStyle w:val="ListParagraph"/>
        <w:numPr>
          <w:ilvl w:val="0"/>
          <w:numId w:val="2"/>
        </w:numPr>
        <w:spacing w:after="60" w:line="276"/>
      </w:pPr>
      <w:r>
        <w:rPr>
          <w:rFonts w:ascii="Calibri" w:cs="Calibri" w:eastAsia="Calibri" w:hAnsi="Calibri"/>
          <w:sz w:val="21"/>
          <w:szCs w:val="21"/>
        </w:rPr>
        <w:t xml:space="preserve">Confirm what foreign taxes actually qualify — generally income, war profits, and excess profits taxes qualify, while a foreign value-added tax or a purely regulatory fee generally does not, even though both may feel like "foreign tax" in casual conversation.</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U.S. business operates a foreign branch that has been generating substantial local profit, and the foreign country has been separately assessing its own income tax on that branch’s activity — a fact that had never been tracked or claimed on the U.S. return, which only reported the U.S.-side numbers. Documenting the foreign tax actually paid and filing Form 1116 going forward allows a real, dollar-for-dollar credit against U.S. tax on that same income — foreign tax that had effectively been paid twice over (once abroad, once again to the U.S. with no offset) is now credited instead of wasted.</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55. Borrowing Against Appreciated Securities Instead of Selling</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w:t>
      </w:r>
    </w:p>
    <w:p>
      <w:pPr>
        <w:spacing w:after="140" w:line="276"/>
      </w:pPr>
      <w:r>
        <w:rPr>
          <w:rFonts w:ascii="Calibri" w:cs="Calibri" w:eastAsia="Calibri" w:hAnsi="Calibri"/>
          <w:sz w:val="21"/>
          <w:szCs w:val="21"/>
        </w:rPr>
        <w:t xml:space="preserve">An investor who wants cash but is sitting on a large unrealized gain faces an obvious tension: selling raises cash but triggers capital gains tax, permanently shrinking the position. Borrowing against the position instead — using it as collateral for a loan, commonly through a margin or securities-backed line of credit — raises cash without triggering any taxable event at all, since a loan is not a sale.</w:t>
      </w:r>
    </w:p>
    <w:p>
      <w:pPr>
        <w:pStyle w:val="Heading2"/>
        <w:spacing w:after="80" w:before="200"/>
      </w:pPr>
      <w:r>
        <w:rPr>
          <w:rFonts w:ascii="Calibri" w:cs="Calibri" w:eastAsia="Calibri" w:hAnsi="Calibri"/>
          <w:b/>
          <w:bCs/>
          <w:color w:val="2E5496"/>
          <w:sz w:val="24"/>
          <w:szCs w:val="24"/>
        </w:rPr>
        <w:t xml:space="preserve">Why a Loan Against Securities Is Not a Taxable Event</w:t>
      </w:r>
    </w:p>
    <w:p>
      <w:pPr>
        <w:spacing w:after="140" w:line="276"/>
      </w:pPr>
      <w:r>
        <w:rPr>
          <w:rFonts w:ascii="Calibri" w:cs="Calibri" w:eastAsia="Calibri" w:hAnsi="Calibri"/>
          <w:sz w:val="21"/>
          <w:szCs w:val="21"/>
        </w:rPr>
        <w:t xml:space="preserve">Under the basic realization principle of IRC § 1001, gain or loss is recognized only upon a sale or other taxable disposition of property — simply pledging appreciated securities as collateral for a loan is not a disposition, so no gain is recognized and no tax is owed, no matter how large the position’s embedded gain is. The investor retains the securities (continuing to participate in any further appreciation, dividends, and voting rights, subject to whatever the lender’s loan terms require), while also having cash in hand from the loan proceeds.</w:t>
      </w:r>
    </w:p>
    <w:p>
      <w:pPr>
        <w:spacing w:after="140" w:line="276"/>
      </w:pPr>
      <w:r>
        <w:rPr>
          <w:rFonts w:ascii="Calibri" w:cs="Calibri" w:eastAsia="Calibri" w:hAnsi="Calibri"/>
          <w:sz w:val="21"/>
          <w:szCs w:val="21"/>
        </w:rPr>
        <w:t xml:space="preserve">This is genuinely useful for an investor who needs liquidity — for a major purchase, another investment opportunity, or simply cash-flow flexibility — but does not want to realize a large gain on a position they intend to keep holding for the long run, especially one where selling now would mean giving up a favorable long-term holding period or realizing a gain in an otherwise low-tax year they would rather preserve.</w:t>
      </w:r>
    </w:p>
    <w:p>
      <w:pPr>
        <w:spacing w:after="140" w:line="276"/>
      </w:pPr>
      <w:r>
        <w:rPr>
          <w:rFonts w:ascii="Calibri" w:cs="Calibri" w:eastAsia="Calibri" w:hAnsi="Calibri"/>
          <w:sz w:val="21"/>
          <w:szCs w:val="21"/>
        </w:rPr>
        <w:t xml:space="preserve">This is not free money, and it is not without risk: it is a real loan that must be repaid with interest, and if the value of the pledged securities falls significantly, the lender can issue a margin call requiring additional collateral or forced sale of the securities at an inopportune time — potentially realizing the very capital gains tax event the strategy was meant to avoid, at the worst possible moment (a market downturn). Interest paid on the loan may itself be deductible as investment interest expense, subject to its own limitation, if the loan proceeds are used for investment purposes rather than personal consumption.</w:t>
      </w:r>
    </w:p>
    <w:p>
      <w:pPr>
        <w:pStyle w:val="ListParagraph"/>
        <w:numPr>
          <w:ilvl w:val="0"/>
          <w:numId w:val="2"/>
        </w:numPr>
        <w:spacing w:after="60" w:line="276"/>
      </w:pPr>
      <w:r>
        <w:rPr>
          <w:rFonts w:ascii="Calibri" w:cs="Calibri" w:eastAsia="Calibri" w:hAnsi="Calibri"/>
          <w:sz w:val="21"/>
          <w:szCs w:val="21"/>
        </w:rPr>
        <w:t xml:space="preserve">Borrow conservatively relative to the portfolio’s value — a loan sized too close to the maximum a lender will allow leaves little cushion before a market decline triggers a margin call.</w:t>
      </w:r>
    </w:p>
    <w:p>
      <w:pPr>
        <w:pStyle w:val="ListParagraph"/>
        <w:numPr>
          <w:ilvl w:val="0"/>
          <w:numId w:val="2"/>
        </w:numPr>
        <w:spacing w:after="60" w:line="276"/>
      </w:pPr>
      <w:r>
        <w:rPr>
          <w:rFonts w:ascii="Calibri" w:cs="Calibri" w:eastAsia="Calibri" w:hAnsi="Calibri"/>
          <w:sz w:val="21"/>
          <w:szCs w:val="21"/>
        </w:rPr>
        <w:t xml:space="preserve">This works best for a genuinely long-term "never sell, or not yet" position — using it as a short-term device to avoid tax on a position that will be sold soon anyway simply converts a capital-gains problem into a market-risk problem without eliminating the eventual tax.</w:t>
      </w:r>
    </w:p>
    <w:p>
      <w:pPr>
        <w:pStyle w:val="ListParagraph"/>
        <w:numPr>
          <w:ilvl w:val="0"/>
          <w:numId w:val="2"/>
        </w:numPr>
        <w:spacing w:after="60" w:line="276"/>
      </w:pPr>
      <w:r>
        <w:rPr>
          <w:rFonts w:ascii="Calibri" w:cs="Calibri" w:eastAsia="Calibri" w:hAnsi="Calibri"/>
          <w:sz w:val="21"/>
          <w:szCs w:val="21"/>
        </w:rPr>
        <w:t xml:space="preserve">Track whether loan proceeds are used for investment purposes (supporting an investment-interest-expense deduction, subject to § 163(d)’s limitation) versus personal spending (generally not deductible) — the use of the borrowed funds, not just the collateral, determines the interest’s deductibility.</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investor holds a substantial long-term stock position with a very large embedded gain that he does not want to sell, preferring to keep the position intact. Wanting cash for a separate purchase, he borrows against the position through a securities-backed line of credit rather than selling shares — accessing the cash immediately with no capital gains tax triggered, since posting the shares as collateral is not a sale. He keeps the borrowed amount well below the maximum the lender would extend, preserving a cushion against a market decline that could otherwise trigger a margin call.</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56. Timing Cash-Basis Income and Expenses to Manage Taxable Income</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w:t>
      </w:r>
    </w:p>
    <w:p>
      <w:pPr>
        <w:spacing w:after="140" w:line="276"/>
      </w:pPr>
      <w:r>
        <w:rPr>
          <w:rFonts w:ascii="Calibri" w:cs="Calibri" w:eastAsia="Calibri" w:hAnsi="Calibri"/>
          <w:sz w:val="21"/>
          <w:szCs w:val="21"/>
        </w:rPr>
        <w:t xml:space="preserve">A business reporting on the cash method of accounting recognizes income when payment is actually received (not when it is earned or invoiced) and deducts expenses when actually paid (not when the obligation arises). For a business with real control over when it bills clients and when it pays its own bills, this creates genuine, legal flexibility to shift a meaningful amount of taxable income from one year into the next, without changing the underlying economics of the business at all.</w:t>
      </w:r>
    </w:p>
    <w:p>
      <w:pPr>
        <w:pStyle w:val="Heading2"/>
        <w:spacing w:after="80" w:before="200"/>
      </w:pPr>
      <w:r>
        <w:rPr>
          <w:rFonts w:ascii="Calibri" w:cs="Calibri" w:eastAsia="Calibri" w:hAnsi="Calibri"/>
          <w:b/>
          <w:bCs/>
          <w:color w:val="2E5496"/>
          <w:sz w:val="24"/>
          <w:szCs w:val="24"/>
        </w:rPr>
        <w:t xml:space="preserve">How the Cash Method Creates a Real Timing Lever</w:t>
      </w:r>
    </w:p>
    <w:p>
      <w:pPr>
        <w:spacing w:after="140" w:line="276"/>
      </w:pPr>
      <w:r>
        <w:rPr>
          <w:rFonts w:ascii="Calibri" w:cs="Calibri" w:eastAsia="Calibri" w:hAnsi="Calibri"/>
          <w:sz w:val="21"/>
          <w:szCs w:val="21"/>
        </w:rPr>
        <w:t xml:space="preserve">Under the cash method, income is includible in the year money is actually received, and most ordinary expenses are deductible in the year actually paid. A business nearing year-end with substantial uncollected accounts receivable and unbilled work has real discretion over when that income is recognized: delaying an invoice, or simply not pushing hard on collections until after year-end, keeps that revenue out of the current year’s taxable income entirely (it will simply be taxed the following year, when collected). Conversely, a business wanting to accelerate income into the current year (for instance, to use up an expiring deduction or a lower bracket) can push to invoice and collect before year-end instead.</w:t>
      </w:r>
    </w:p>
    <w:p>
      <w:pPr>
        <w:spacing w:after="140" w:line="276"/>
      </w:pPr>
      <w:r>
        <w:rPr>
          <w:rFonts w:ascii="Calibri" w:cs="Calibri" w:eastAsia="Calibri" w:hAnsi="Calibri"/>
          <w:sz w:val="21"/>
          <w:szCs w:val="21"/>
        </w:rPr>
        <w:t xml:space="preserve">On the expense side, the "12-month rule" under Treas. Reg. § 1.263(a)-4(f) allows a cash-method taxpayer to currently deduct a prepaid expense (such as a full year of insurance, rent, or a service contract paid in advance) if the benefit of what was paid for does not extend beyond the earlier of 12 months after the payment or the end of the tax year following the year of payment — meaning a business can prepay certain recurring expenses shortly before year-end and deduct the full amount immediately, rather than spreading the deduction out over the period the payment actually covers.</w:t>
      </w:r>
    </w:p>
    <w:p>
      <w:pPr>
        <w:spacing w:after="140" w:line="276"/>
      </w:pPr>
      <w:r>
        <w:rPr>
          <w:rFonts w:ascii="Calibri" w:cs="Calibri" w:eastAsia="Calibri" w:hAnsi="Calibri"/>
          <w:sz w:val="21"/>
          <w:szCs w:val="21"/>
        </w:rPr>
        <w:t xml:space="preserve">Combined, these two levers let a cash-basis business smooth taxable income across years to fit whatever fits: staying under a threshold that matters for a specific deduction or credit, managing a state pass-through-entity-tax election that is sized off a specific year’s income, or simply avoiding an unnecessarily large single-year spike by pulling deductible expenses forward and pushing collectible income back.</w:t>
      </w:r>
    </w:p>
    <w:p>
      <w:pPr>
        <w:pStyle w:val="ListParagraph"/>
        <w:numPr>
          <w:ilvl w:val="0"/>
          <w:numId w:val="2"/>
        </w:numPr>
        <w:spacing w:after="60" w:line="276"/>
      </w:pPr>
      <w:r>
        <w:rPr>
          <w:rFonts w:ascii="Calibri" w:cs="Calibri" w:eastAsia="Calibri" w:hAnsi="Calibri"/>
          <w:sz w:val="21"/>
          <w:szCs w:val="21"/>
        </w:rPr>
        <w:t xml:space="preserve">This works only for a genuine cash-method taxpayer — a business using the accrual method recognizes income when earned and expenses when incurred, regardless of when cash actually moves, so none of this timing flexibility is available to it.</w:t>
      </w:r>
    </w:p>
    <w:p>
      <w:pPr>
        <w:pStyle w:val="ListParagraph"/>
        <w:numPr>
          <w:ilvl w:val="0"/>
          <w:numId w:val="2"/>
        </w:numPr>
        <w:spacing w:after="60" w:line="276"/>
      </w:pPr>
      <w:r>
        <w:rPr>
          <w:rFonts w:ascii="Calibri" w:cs="Calibri" w:eastAsia="Calibri" w:hAnsi="Calibri"/>
          <w:sz w:val="21"/>
          <w:szCs w:val="21"/>
        </w:rPr>
        <w:t xml:space="preserve">Delaying collection is a business decision with real cash-flow consequences, not just a tax one — weigh the value of the tax deferral against the cost of carrying larger receivables and the collection risk of waiting longer to collect.</w:t>
      </w:r>
    </w:p>
    <w:p>
      <w:pPr>
        <w:pStyle w:val="ListParagraph"/>
        <w:numPr>
          <w:ilvl w:val="0"/>
          <w:numId w:val="2"/>
        </w:numPr>
        <w:spacing w:after="60" w:line="276"/>
      </w:pPr>
      <w:r>
        <w:rPr>
          <w:rFonts w:ascii="Calibri" w:cs="Calibri" w:eastAsia="Calibri" w:hAnsi="Calibri"/>
          <w:sz w:val="21"/>
          <w:szCs w:val="21"/>
        </w:rPr>
        <w:t xml:space="preserve">The 12-month rule has a real limit: a prepayment that covers a benefit period extending beyond that window must still be capitalized and deducted over the period it actually covers, not deducted all at once — confirm the specific prepayment fits within the rule before relying on an immediate full deduction.</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cash-basis professional services firm heading into a strong year has roughly $700,000 of accounts receivable outstanding and another $1,000,000 of work it could bill before year-end. Rather than aggressively invoicing and collecting everything before December 31, the firm times some of that billing into January instead, shifting that income into the following year. At the same time, it prepays several recurring annual expenses (insurance, certain service contracts) in December under the 12-month rule, deducting the full prepaid amount immediately rather than spreading it across the following year — both moves working together to manage which year the income lands in.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57. QSEHRA: A Health Reimbursement Arrangement for Small Employers Without a Group Plan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  ·  S-Corporation</w:t>
      </w:r>
    </w:p>
    <w:p>
      <w:pPr>
        <w:spacing w:after="140" w:line="276"/>
      </w:pPr>
      <w:r>
        <w:rPr>
          <w:rFonts w:ascii="Calibri" w:cs="Calibri" w:eastAsia="Calibri" w:hAnsi="Calibri"/>
          <w:sz w:val="21"/>
          <w:szCs w:val="21"/>
        </w:rPr>
        <w:t xml:space="preserve">A small business that wants to help employees with health insurance costs, but does not want the expense and administrative complexity of sponsoring a traditional group health plan, has a purpose-built option: a Qualified Small Employer Health Reimbursement Arrangement (QSEHRA) lets the employer reimburse employees’ individually purchased health insurance and medical expenses, tax-free to the employee, up to an annual statutory cap, without maintaining a group plan at all.</w:t>
      </w:r>
    </w:p>
    <w:p>
      <w:pPr>
        <w:pStyle w:val="Heading2"/>
        <w:spacing w:after="80" w:before="200"/>
      </w:pPr>
      <w:r>
        <w:rPr>
          <w:rFonts w:ascii="Calibri" w:cs="Calibri" w:eastAsia="Calibri" w:hAnsi="Calibri"/>
          <w:b/>
          <w:bCs/>
          <w:color w:val="2E5496"/>
          <w:sz w:val="24"/>
          <w:szCs w:val="24"/>
        </w:rPr>
        <w:t xml:space="preserve">How a QSEHRA Works and Who It Fits</w:t>
      </w:r>
    </w:p>
    <w:p>
      <w:pPr>
        <w:spacing w:after="140" w:line="276"/>
      </w:pPr>
      <w:r>
        <w:rPr>
          <w:rFonts w:ascii="Calibri" w:cs="Calibri" w:eastAsia="Calibri" w:hAnsi="Calibri"/>
          <w:sz w:val="21"/>
          <w:szCs w:val="21"/>
        </w:rPr>
        <w:t xml:space="preserve">A QSEHRA is available only to small employers — generally those with fewer than 50 full-time-equivalent employees — that do not offer any other group health plan to any employee. The employer sets a fixed reimbursement allowance (up to an annually adjusted statutory maximum, with a higher cap for family coverage than for self-only coverage) and reimburses employees, tax-free, for substantiated premiums on individually purchased health insurance (typically obtained through the individual marketplace) and, if the plan allows, other qualifying medical expenses. Unlike a traditional group plan, there is no insurance policy the employer itself administers — employees buy their own coverage, and the business simply reimburses the cost up to the set allowance.</w:t>
      </w:r>
    </w:p>
    <w:p>
      <w:pPr>
        <w:spacing w:after="140" w:line="276"/>
      </w:pPr>
      <w:r>
        <w:rPr>
          <w:rFonts w:ascii="Calibri" w:cs="Calibri" w:eastAsia="Calibri" w:hAnsi="Calibri"/>
          <w:sz w:val="21"/>
          <w:szCs w:val="21"/>
        </w:rPr>
        <w:t xml:space="preserve">This is a genuinely simple, low-administrative-burden way for a small employer to offer a real health benefit without underwriting or managing a group insurance policy, and the reimbursement is deductible to the business while being excluded from the employee’s taxable income (subject to substantiation requirements). It is a popular fit for a small business that wants to compete for talent with some health benefit, but is not ready for (or does not want) the cost and complexity of a full group plan.</w:t>
      </w:r>
    </w:p>
    <w:p>
      <w:pPr>
        <w:spacing w:after="140" w:line="276"/>
      </w:pPr>
      <w:r>
        <w:rPr>
          <w:rFonts w:ascii="Calibri" w:cs="Calibri" w:eastAsia="Calibri" w:hAnsi="Calibri"/>
          <w:sz w:val="21"/>
          <w:szCs w:val="21"/>
        </w:rPr>
        <w:t xml:space="preserve">The significant limitation for an owner-heavy small business: a more-than-2% shareholder of an S corporation cannot receive tax-free QSEHRA reimbursements for their own coverage — the same restriction that applies to other tax-free fringe benefits for &gt;2% S-corp shareholders elsewhere in the tax code applies here too. A &gt;2% shareholder’s own health insurance needs to be handled through the separate S-corp shareholder health-insurance mechanism (reimbursed through wages, with the shareholder taking the personal above-the-line deduction), not through the QSEHRA meant for the rank-and-file employees.</w:t>
      </w:r>
    </w:p>
    <w:p>
      <w:pPr>
        <w:pStyle w:val="ListParagraph"/>
        <w:numPr>
          <w:ilvl w:val="0"/>
          <w:numId w:val="2"/>
        </w:numPr>
        <w:spacing w:after="60" w:line="276"/>
      </w:pPr>
      <w:r>
        <w:rPr>
          <w:rFonts w:ascii="Calibri" w:cs="Calibri" w:eastAsia="Calibri" w:hAnsi="Calibri"/>
          <w:sz w:val="21"/>
          <w:szCs w:val="21"/>
        </w:rPr>
        <w:t xml:space="preserve">Confirm the business genuinely offers no other group health plan to any employee — offering a QSEHRA alongside a traditional group plan for even a subset of employees is not permitted; it is one or the other, not both.</w:t>
      </w:r>
    </w:p>
    <w:p>
      <w:pPr>
        <w:pStyle w:val="ListParagraph"/>
        <w:numPr>
          <w:ilvl w:val="0"/>
          <w:numId w:val="2"/>
        </w:numPr>
        <w:spacing w:after="60" w:line="276"/>
      </w:pPr>
      <w:r>
        <w:rPr>
          <w:rFonts w:ascii="Calibri" w:cs="Calibri" w:eastAsia="Calibri" w:hAnsi="Calibri"/>
          <w:sz w:val="21"/>
          <w:szCs w:val="21"/>
        </w:rPr>
        <w:t xml:space="preserve">A QSEHRA is a plan design choice made instead of, not in addition to, a traditional group health plan — a growing business expecting to exceed the small-employer threshold, or wanting a richer benefit than a QSEHRA’s fixed allowance can provide, may outgrow it and eventually need to transition to a group plan.</w:t>
      </w:r>
    </w:p>
    <w:p>
      <w:pPr>
        <w:pStyle w:val="ListParagraph"/>
        <w:numPr>
          <w:ilvl w:val="0"/>
          <w:numId w:val="2"/>
        </w:numPr>
        <w:spacing w:after="60" w:line="276"/>
      </w:pPr>
      <w:r>
        <w:rPr>
          <w:rFonts w:ascii="Calibri" w:cs="Calibri" w:eastAsia="Calibri" w:hAnsi="Calibri"/>
          <w:sz w:val="21"/>
          <w:szCs w:val="21"/>
        </w:rPr>
        <w:t xml:space="preserve">&gt;2% S-corp shareholders are excluded from tax-free QSEHRA reimbursement for their own coverage — plan for their health insurance separately through the shareholder-specific mechanism, not through the same QSEHRA covering staff.</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small business with about a dozen employees and no group health plan wants to offer some health benefit without the cost and complexity of sponsoring group insurance. It adopts a QSEHRA, setting a fixed monthly reimbursement allowance for employees who purchase their own individual marketplace coverage and submit proof of premium payment. Employees receive the reimbursement tax-free, and the business deducts the cost — but the two owners, each holding more than 2% of the S-corporation’s stock, are not eligible for tax-free reimbursement through this same plan and instead have their own health insurance handled through the S-corp shareholder health-insurance mechanism.</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58. The § 162(l) Self-Employed Health Insurance Deduction for &gt;2% S-Corp Shareholders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w:t>
      </w:r>
    </w:p>
    <w:p>
      <w:pPr>
        <w:spacing w:after="140" w:line="276"/>
      </w:pPr>
      <w:r>
        <w:rPr>
          <w:rFonts w:ascii="Calibri" w:cs="Calibri" w:eastAsia="Calibri" w:hAnsi="Calibri"/>
          <w:sz w:val="21"/>
          <w:szCs w:val="21"/>
        </w:rPr>
        <w:t xml:space="preserve">A shareholder who owns more than 2% of an S corporation cannot simply have the company pay their personal health insurance premiums and treat it as a tax-free employee fringe benefit — the tax code specifically excludes a &gt;2% shareholder from that treatment. Instead, a particular sequence of steps lets the same economic result (the business effectively bearing the cost of the shareholder’s health insurance) happen tax-efficiently, but only if each step is followed in the right order.</w:t>
      </w:r>
    </w:p>
    <w:p>
      <w:pPr>
        <w:pStyle w:val="Heading2"/>
        <w:spacing w:after="80" w:before="200"/>
      </w:pPr>
      <w:r>
        <w:rPr>
          <w:rFonts w:ascii="Calibri" w:cs="Calibri" w:eastAsia="Calibri" w:hAnsi="Calibri"/>
          <w:b/>
          <w:bCs/>
          <w:color w:val="2E5496"/>
          <w:sz w:val="24"/>
          <w:szCs w:val="24"/>
        </w:rPr>
        <w:t xml:space="preserve">The Required Sequence: Wages First, Then the Personal Deduction</w:t>
      </w:r>
    </w:p>
    <w:p>
      <w:pPr>
        <w:spacing w:after="140" w:line="276"/>
      </w:pPr>
      <w:r>
        <w:rPr>
          <w:rFonts w:ascii="Calibri" w:cs="Calibri" w:eastAsia="Calibri" w:hAnsi="Calibri"/>
          <w:sz w:val="21"/>
          <w:szCs w:val="21"/>
        </w:rPr>
        <w:t xml:space="preserve">IRC § 1372 treats a more-than-2% S-corp shareholder as a partner (rather than as a regular employee) for purposes of most fringe-benefit exclusions, including the general rule that lets a corporation provide health insurance to an employee tax-free. This means a &gt;2% shareholder cannot receive employer-paid health insurance as a tax-free benefit the way a non-owner employee could — if the S-corp pays or reimburses the shareholder’s health insurance premiums, that amount must be included in the shareholder’s W-2 Box 1 taxable wages (though it is still exempt from FICA/Medicare withholding).</w:t>
      </w:r>
    </w:p>
    <w:p>
      <w:pPr>
        <w:spacing w:after="140" w:line="276"/>
      </w:pPr>
      <w:r>
        <w:rPr>
          <w:rFonts w:ascii="Calibri" w:cs="Calibri" w:eastAsia="Calibri" w:hAnsi="Calibri"/>
          <w:sz w:val="21"/>
          <w:szCs w:val="21"/>
        </w:rPr>
        <w:t xml:space="preserve">Having included the premium in W-2 wages, the shareholder can then separately claim the self-employed health insurance (SEHI) deduction under IRC § 162(l) on their own personal tax return — an above-the-line deduction that effectively cancels out the income just added to their W-2, making the premium cost tax-neutral overall (deducted personally, having first been included in wages). The net result mirrors a true tax-free benefit, but only because both steps happen: first adding the premium to wages, then separately deducting it personally.</w:t>
      </w:r>
    </w:p>
    <w:p>
      <w:pPr>
        <w:spacing w:after="140" w:line="276"/>
      </w:pPr>
      <w:r>
        <w:rPr>
          <w:rFonts w:ascii="Calibri" w:cs="Calibri" w:eastAsia="Calibri" w:hAnsi="Calibri"/>
          <w:sz w:val="21"/>
          <w:szCs w:val="21"/>
        </w:rPr>
        <w:t xml:space="preserve">The § 162(l) deduction is limited to the shareholder’s earned income from that specific S corporation (their W-2 wages), and it cannot exceed that wage figure — a shareholder whose wages are too low relative to the premium amount may not be able to deduct the full premium personally, even though the entire amount was correctly added to their W-2 wages in the first place. This is one more reason the reasonable-compensation wage figure (discussed elsewhere in this guide) needs to be set with enough room to support benefits like this, not just base compensation.</w:t>
      </w:r>
    </w:p>
    <w:p>
      <w:pPr>
        <w:pStyle w:val="ListParagraph"/>
        <w:numPr>
          <w:ilvl w:val="0"/>
          <w:numId w:val="2"/>
        </w:numPr>
        <w:spacing w:after="60" w:line="276"/>
      </w:pPr>
      <w:r>
        <w:rPr>
          <w:rFonts w:ascii="Calibri" w:cs="Calibri" w:eastAsia="Calibri" w:hAnsi="Calibri"/>
          <w:sz w:val="21"/>
          <w:szCs w:val="21"/>
        </w:rPr>
        <w:t xml:space="preserve">The health insurance policy must be established or treated as established by the S corporation (typically meaning the corporation pays the premium directly, or reimburses the shareholder for a policy the corporation is treated as having established) — a policy purchased and paid for entirely outside the corporate structure, with no involvement from the S-corp, generally does not qualify for this treatment.</w:t>
      </w:r>
    </w:p>
    <w:p>
      <w:pPr>
        <w:pStyle w:val="ListParagraph"/>
        <w:numPr>
          <w:ilvl w:val="0"/>
          <w:numId w:val="2"/>
        </w:numPr>
        <w:spacing w:after="60" w:line="276"/>
      </w:pPr>
      <w:r>
        <w:rPr>
          <w:rFonts w:ascii="Calibri" w:cs="Calibri" w:eastAsia="Calibri" w:hAnsi="Calibri"/>
          <w:sz w:val="21"/>
          <w:szCs w:val="21"/>
        </w:rPr>
        <w:t xml:space="preserve">If the premium is added to W-2 wages but the shareholder forgets to separately claim the § 162(l) deduction on their personal return, the benefit is lost entirely — the wage add-back without the offsetting personal deduction is simply extra taxable income with no benefit, so both halves of the sequence need to actually happen.</w:t>
      </w:r>
    </w:p>
    <w:p>
      <w:pPr>
        <w:pStyle w:val="ListParagraph"/>
        <w:numPr>
          <w:ilvl w:val="0"/>
          <w:numId w:val="2"/>
        </w:numPr>
        <w:spacing w:after="60" w:line="276"/>
      </w:pPr>
      <w:r>
        <w:rPr>
          <w:rFonts w:ascii="Calibri" w:cs="Calibri" w:eastAsia="Calibri" w:hAnsi="Calibri"/>
          <w:sz w:val="21"/>
          <w:szCs w:val="21"/>
        </w:rPr>
        <w:t xml:space="preserve">The shareholder cannot also claim a premium tax credit for marketplace coverage in the same period the S-corp-paid premiums are being deducted this way — confirm which mechanism applies before assuming both benefits stack.</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S-corp owner draws a $90,000 W-2 salary, and the corporation pays her family's $22,000 annual health insurance premium directly. Payroll adds the full $22,000 to her W-2 Box 1 wages (bringing reported wages to $112,000) with no FICA withheld on that $22,000 portion. On her personal return, she separately claims a $22,000 above-the-line deduction under § 162(l), since it does not exceed her $112,000 of wages from the company. Net effect: the $22,000 is fully deductible to the corporation and creates zero net taxable income to her personally — the wage inclusion and the personal deduction cancel out exactly. Contrast this with a second owner whose S-corp salary is only $15,000 (an unreasonably low wage in its own right) and whose premium is also $22,000: her § 162(l) deduction is capped at her $15,000 of wages, leaving $7,000 of the premium added to her W-2 with no offsetting deduction available — $7,000 of pure taxable income created purely because her wage base was too thin to support the benefit she was trying to receive tax-free.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59. The Investment Interest Expense Deduction and Its Carryforward (Form 4952)</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w:t>
      </w:r>
    </w:p>
    <w:p>
      <w:pPr>
        <w:spacing w:after="140" w:line="276"/>
      </w:pPr>
      <w:r>
        <w:rPr>
          <w:rFonts w:ascii="Calibri" w:cs="Calibri" w:eastAsia="Calibri" w:hAnsi="Calibri"/>
          <w:sz w:val="21"/>
          <w:szCs w:val="21"/>
        </w:rPr>
        <w:t xml:space="preserve">Interest paid on money borrowed to buy or carry investments — for instance, margin loan interest, or interest on a loan used to fund a brokerage account — is deductible, but only up to the amount of net investment income earned that year. An investor whose investment income is modest in a given year can end up with a real, banked deduction sitting unused, and actively planning around that carryforward — rather than letting it sit forgotten — can turn it into meaningful future tax savings.</w:t>
      </w:r>
    </w:p>
    <w:p>
      <w:pPr>
        <w:pStyle w:val="Heading2"/>
        <w:spacing w:after="80" w:before="200"/>
      </w:pPr>
      <w:r>
        <w:rPr>
          <w:rFonts w:ascii="Calibri" w:cs="Calibri" w:eastAsia="Calibri" w:hAnsi="Calibri"/>
          <w:b/>
          <w:bCs/>
          <w:color w:val="2E5496"/>
          <w:sz w:val="24"/>
          <w:szCs w:val="24"/>
        </w:rPr>
        <w:t xml:space="preserve">How the Limitation and Carryforward Work</w:t>
      </w:r>
    </w:p>
    <w:p>
      <w:pPr>
        <w:spacing w:after="140" w:line="276"/>
      </w:pPr>
      <w:r>
        <w:rPr>
          <w:rFonts w:ascii="Calibri" w:cs="Calibri" w:eastAsia="Calibri" w:hAnsi="Calibri"/>
          <w:sz w:val="21"/>
          <w:szCs w:val="21"/>
        </w:rPr>
        <w:t xml:space="preserve">IRC § 163(d) allows a deduction for investment interest expense (interest on debt used to buy or carry property held for investment) only up to the taxpayer’s net investment income for the year — interest, non-qualified dividends, and, if elected, net capital gain or qualified dividends can be treated as investment income for this purpose, though electing to include capital gains or qualified dividends means giving up the preferential capital-gains rate on the amount so included. Any investment interest paid that exceeds that year’s net investment income is not lost — it carries forward indefinitely to future years, where it can be deducted against future investment income once it materializes.</w:t>
      </w:r>
    </w:p>
    <w:p>
      <w:pPr>
        <w:spacing w:after="140" w:line="276"/>
      </w:pPr>
      <w:r>
        <w:rPr>
          <w:rFonts w:ascii="Calibri" w:cs="Calibri" w:eastAsia="Calibri" w:hAnsi="Calibri"/>
          <w:sz w:val="21"/>
          <w:szCs w:val="21"/>
        </w:rPr>
        <w:t xml:space="preserve">This commonly arises for an investor who borrows against a portfolio (see the strategy on borrowing against appreciated securities elsewhere in this guide) or who uses margin to invest, in a year where the portfolio itself generates relatively little taxable investment income — the interest paid on the loan that year may substantially exceed the income the loan-funded investments produced, leaving a real carryforward balance. Reported and tracked via Form 4952, this carryforward is a genuine, bankable tax asset, not unlike a capital loss carryforward, and deserves the same kind of active tracking and planning rather than being forgotten as a line on a prior return.</w:t>
      </w:r>
    </w:p>
    <w:p>
      <w:pPr>
        <w:spacing w:after="140" w:line="276"/>
      </w:pPr>
      <w:r>
        <w:rPr>
          <w:rFonts w:ascii="Calibri" w:cs="Calibri" w:eastAsia="Calibri" w:hAnsi="Calibri"/>
          <w:sz w:val="21"/>
          <w:szCs w:val="21"/>
        </w:rPr>
        <w:t xml:space="preserve">A taxpayer who is aware of a large investment interest carryforward can deliberately plan around it: timing the realization of investment income (a large dividend year, a portfolio rebalancing that generates gains, or electing to treat a capital gain as investment income specifically to unlock the interest deduction against it) into a year when the carryforward is available to absorb it, converting what would otherwise be taxed investment income into a wash against previously paid, but until-then-unused, investment interest.</w:t>
      </w:r>
    </w:p>
    <w:p>
      <w:pPr>
        <w:pStyle w:val="ListParagraph"/>
        <w:numPr>
          <w:ilvl w:val="0"/>
          <w:numId w:val="2"/>
        </w:numPr>
        <w:spacing w:after="60" w:line="276"/>
      </w:pPr>
      <w:r>
        <w:rPr>
          <w:rFonts w:ascii="Calibri" w:cs="Calibri" w:eastAsia="Calibri" w:hAnsi="Calibri"/>
          <w:sz w:val="21"/>
          <w:szCs w:val="21"/>
        </w:rPr>
        <w:t xml:space="preserve">Track the Form 4952 carryforward balance from year to year as its own line item — it is easy to lose track of over several years of returns if it is not maintained deliberately.</w:t>
      </w:r>
    </w:p>
    <w:p>
      <w:pPr>
        <w:pStyle w:val="ListParagraph"/>
        <w:numPr>
          <w:ilvl w:val="0"/>
          <w:numId w:val="2"/>
        </w:numPr>
        <w:spacing w:after="60" w:line="276"/>
      </w:pPr>
      <w:r>
        <w:rPr>
          <w:rFonts w:ascii="Calibri" w:cs="Calibri" w:eastAsia="Calibri" w:hAnsi="Calibri"/>
          <w:sz w:val="21"/>
          <w:szCs w:val="21"/>
        </w:rPr>
        <w:t xml:space="preserve">Electing to treat qualified dividends or long-term capital gains as investment income (to use up an investment interest carryforward) trades away the preferential rate on that specific amount — model whether the interest deduction unlocked is worth more than the rate preference given up before making the election.</w:t>
      </w:r>
    </w:p>
    <w:p>
      <w:pPr>
        <w:pStyle w:val="ListParagraph"/>
        <w:numPr>
          <w:ilvl w:val="0"/>
          <w:numId w:val="2"/>
        </w:numPr>
        <w:spacing w:after="60" w:line="276"/>
      </w:pPr>
      <w:r>
        <w:rPr>
          <w:rFonts w:ascii="Calibri" w:cs="Calibri" w:eastAsia="Calibri" w:hAnsi="Calibri"/>
          <w:sz w:val="21"/>
          <w:szCs w:val="21"/>
        </w:rPr>
        <w:t xml:space="preserve">A large investment interest carryforward is a genuine reason to deliberately generate some investment income in a future year (through a partial rebalancing or a planned gain) rather than always deferring realization indefinitely — the carryforward has real value only once it is actually used against income.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investor borrows $2,000,000 on margin against a brokerage account to fund an outside investment, paying $110,000 of margin interest during a year when the pledged portfolio itself generates only $18,000 of taxable dividend income. Under § 163(d), only $18,000 of the interest is currently deductible; the remaining $92,000 carries forward on Form 4952, unused. Three years later, the investor rebalances the same portfolio, realizing a $150,000 long-term capital gain. By electing to treat that gain as investment income (giving up the preferential capital-gains rate on it), the investor unlocks the $92,000 carryforward against it — reducing the taxable amount to $58,000. At a roughly 15-percentage-point gap between the capital-gains rate given up and the ordinary rate the interest deduction offsets, the math still favors making the election here: giving up preferential treatment on $92,000 costs about $13,800 in forgone rate benefit, while the $92,000 deduction itself is worth roughly $34,000 at a 37% marginal rate — a net gain of about $20,000 from a carryforward that would otherwise have simply kept rolling forward, unused, for another year.</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60. Investing Through a Self-Directed Roth IRA in a Private Business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  ·  Retirement Planning</w:t>
      </w:r>
    </w:p>
    <w:p>
      <w:pPr>
        <w:spacing w:after="140" w:line="276"/>
      </w:pPr>
      <w:r>
        <w:rPr>
          <w:rFonts w:ascii="Calibri" w:cs="Calibri" w:eastAsia="Calibri" w:hAnsi="Calibri"/>
          <w:sz w:val="21"/>
          <w:szCs w:val="21"/>
        </w:rPr>
        <w:t xml:space="preserve">A Roth IRA can hold more than just public stocks and mutual funds — through a specialized "self-directed" custodian, it can own equity in a private business. Structured correctly, any appreciation on that equity grows and is eventually withdrawn completely tax-free, which is extraordinarily valuable for an investment expected to grow from a very small starting value to a large one. Structured incorrectly, it can trigger a "prohibited transaction" that disqualifies the entire IRA, an outcome severe enough that this strategy should never be attempted without specialized legal help.</w:t>
      </w:r>
    </w:p>
    <w:p>
      <w:pPr>
        <w:pStyle w:val="Heading2"/>
        <w:spacing w:after="80" w:before="200"/>
      </w:pPr>
      <w:r>
        <w:rPr>
          <w:rFonts w:ascii="Calibri" w:cs="Calibri" w:eastAsia="Calibri" w:hAnsi="Calibri"/>
          <w:b/>
          <w:bCs/>
          <w:color w:val="2E5496"/>
          <w:sz w:val="24"/>
          <w:szCs w:val="24"/>
        </w:rPr>
        <w:t xml:space="preserve">The Core Constraint: No Self-Dealing With a Disqualified Person</w:t>
      </w:r>
    </w:p>
    <w:p>
      <w:pPr>
        <w:spacing w:after="140" w:line="276"/>
      </w:pPr>
      <w:r>
        <w:rPr>
          <w:rFonts w:ascii="Calibri" w:cs="Calibri" w:eastAsia="Calibri" w:hAnsi="Calibri"/>
          <w:sz w:val="21"/>
          <w:szCs w:val="21"/>
        </w:rPr>
        <w:t xml:space="preserve">IRC § 4975 prohibits an IRA from engaging in transactions with "disqualified persons" — which includes the IRA owner personally, and, critically, any entity the IRA owner controls (generally meaning more than 50% ownership, directly or through attribution rules). This means an IRA owner who controls a business cannot have their own IRA invest directly in that same business — doing so is a prohibited transaction that can disqualify the entire IRA, triggering immediate taxation of the account’s full value (plus penalties) as though it had been completely distributed.</w:t>
      </w:r>
    </w:p>
    <w:p>
      <w:pPr>
        <w:spacing w:after="140" w:line="276"/>
      </w:pPr>
      <w:r>
        <w:rPr>
          <w:rFonts w:ascii="Calibri" w:cs="Calibri" w:eastAsia="Calibri" w:hAnsi="Calibri"/>
          <w:sz w:val="21"/>
          <w:szCs w:val="21"/>
        </w:rPr>
        <w:t xml:space="preserve">The workaround, where it is available, is having the IRA invest in a genuinely separate entity or deal — one the IRA owner does not control — rather than in a business the owner already controls. Ownership by family members other than a spouse, ancestors, or descendants generally does not, by itself, make the family member’s separate ownership attributable to the IRA owner for this purpose (siblings, in particular, are typically not treated as disqualified persons purely by virtue of the relationship) — but the exact facts of who controls what require careful analysis specific to the structure, not a general assumption.</w:t>
      </w:r>
    </w:p>
    <w:p>
      <w:pPr>
        <w:spacing w:after="140" w:line="276"/>
      </w:pPr>
      <w:r>
        <w:rPr>
          <w:rFonts w:ascii="Calibri" w:cs="Calibri" w:eastAsia="Calibri" w:hAnsi="Calibri"/>
          <w:sz w:val="21"/>
          <w:szCs w:val="21"/>
        </w:rPr>
        <w:t xml:space="preserve">The second major risk is valuation. For this strategy to deliver its outsized benefit, the IRA needs to acquire its equity interest while the entity is genuinely near-zero in value — buying in early, before meaningful value has been created. If the IRA instead buys equity for less than its actual fair market value at the time of purchase (for instance, buying into an entity that already has substantial value, at an artificially low price), the below-market purchase is itself treated as a prohibited transaction, regardless of the entity’s eventual growth. This is not a technique for shifting already-existing value into a tax-free wrapper — it only works for capturing appreciation that has not happened yet.</w:t>
      </w:r>
    </w:p>
    <w:p>
      <w:pPr>
        <w:pStyle w:val="ListParagraph"/>
        <w:numPr>
          <w:ilvl w:val="0"/>
          <w:numId w:val="2"/>
        </w:numPr>
        <w:spacing w:after="60" w:line="276"/>
      </w:pPr>
      <w:r>
        <w:rPr>
          <w:rFonts w:ascii="Calibri" w:cs="Calibri" w:eastAsia="Calibri" w:hAnsi="Calibri"/>
          <w:sz w:val="21"/>
          <w:szCs w:val="21"/>
        </w:rPr>
        <w:t xml:space="preserve">Engage an attorney and a specialized self-directed IRA custodian with genuine experience in this exact structure before any transaction — the prohibited-transaction rules are unforgiving, and the entire account is at risk if they are violated, not just the specific investment.</w:t>
      </w:r>
    </w:p>
    <w:p>
      <w:pPr>
        <w:pStyle w:val="ListParagraph"/>
        <w:numPr>
          <w:ilvl w:val="0"/>
          <w:numId w:val="2"/>
        </w:numPr>
        <w:spacing w:after="60" w:line="276"/>
      </w:pPr>
      <w:r>
        <w:rPr>
          <w:rFonts w:ascii="Calibri" w:cs="Calibri" w:eastAsia="Calibri" w:hAnsi="Calibri"/>
          <w:sz w:val="21"/>
          <w:szCs w:val="21"/>
        </w:rPr>
        <w:t xml:space="preserve">The IRA’s equity purchase must happen at a moment when the entity’s value is genuinely low, supported by a defensible valuation — this is not a technique that can be applied retroactively to an already-valuable business.</w:t>
      </w:r>
    </w:p>
    <w:p>
      <w:pPr>
        <w:pStyle w:val="ListParagraph"/>
        <w:numPr>
          <w:ilvl w:val="0"/>
          <w:numId w:val="2"/>
        </w:numPr>
        <w:spacing w:after="60" w:line="276"/>
      </w:pPr>
      <w:r>
        <w:rPr>
          <w:rFonts w:ascii="Calibri" w:cs="Calibri" w:eastAsia="Calibri" w:hAnsi="Calibri"/>
          <w:sz w:val="21"/>
          <w:szCs w:val="21"/>
        </w:rPr>
        <w:t xml:space="preserve">Confirm control percentages precisely, including any attribution from family members, before assuming a particular structure avoids the disqualified-person problem — the specific ownership math, not a general sense of "arm’s length," determines whether this works.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investor's self-directed Roth IRA acquires a 20% interest in a startup venture for $5,000 at formation, when the entity has essentially no value — the investor does not control the venture (his stake plus any attributed family ownership stays under the 50% disqualified-person threshold), and a contemporaneous valuation confirms the $5,000 price reflects genuine fair market value at that early stage. Eight years later, the venture is acquired and the IRA's 20% stake is worth $4,000,000. Because the shares have always been held inside the Roth IRA, the entire $3,995,000 of appreciation is withdrawn completely tax-free in retirement — compare this to the same $3,995,000 of gain earned personally outside any retirement account, which at long-term capital-gains rates would generate roughly $950,000 of federal tax. Had the investor instead controlled the venture at 55% ownership and had his own IRA invest directly, the same transaction would have been a prohibited transaction, disqualifying the entire IRA and triggering immediate taxation of its full value as if completely distributed — the difference between a life-changing tax-free outcome and a catastrophic one turns entirely on the control percentage and the valuation at the moment of purchase.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61. Fixing the RSU Withholding Gap Through Form W-4</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w:t>
      </w:r>
    </w:p>
    <w:p>
      <w:pPr>
        <w:spacing w:after="140" w:line="276"/>
      </w:pPr>
      <w:r>
        <w:rPr>
          <w:rFonts w:ascii="Calibri" w:cs="Calibri" w:eastAsia="Calibri" w:hAnsi="Calibri"/>
          <w:sz w:val="21"/>
          <w:szCs w:val="21"/>
        </w:rPr>
        <w:t xml:space="preserve">An employee who receives restricted stock units (RSUs) as part of compensation almost always has too little tax withheld when those units vest, because federal law requires a flat, mandatory withholding rate on "supplemental wages" like RSU income rather than a rate tailored to the employee's actual tax bracket. For anyone in a bracket above that flat rate, every vesting event quietly under-withholds, and the gap compounds silently all year until it surfaces as a large, unexpected balance due — and often an underpayment penalty on top of it — when the return is filed.</w:t>
      </w:r>
    </w:p>
    <w:p>
      <w:pPr>
        <w:pStyle w:val="Heading2"/>
        <w:spacing w:after="80" w:before="200"/>
      </w:pPr>
      <w:r>
        <w:rPr>
          <w:rFonts w:ascii="Calibri" w:cs="Calibri" w:eastAsia="Calibri" w:hAnsi="Calibri"/>
          <w:b/>
          <w:bCs/>
          <w:color w:val="2E5496"/>
          <w:sz w:val="24"/>
          <w:szCs w:val="24"/>
        </w:rPr>
        <w:t xml:space="preserve">Why the Default Withholding Rate Is Too Low for High Earners</w:t>
      </w:r>
    </w:p>
    <w:p>
      <w:pPr>
        <w:spacing w:after="140" w:line="276"/>
      </w:pPr>
      <w:r>
        <w:rPr>
          <w:rFonts w:ascii="Calibri" w:cs="Calibri" w:eastAsia="Calibri" w:hAnsi="Calibri"/>
          <w:sz w:val="21"/>
          <w:szCs w:val="21"/>
        </w:rPr>
        <w:t xml:space="preserve">When an employer distributes supplemental wages such as RSU vesting income, bonuses, or commissions, it generally must withhold at a flat statutory rate for amounts up to $1 million in a calendar year (and a higher flat rate on any amount above $1 million), regardless of what the employee's actual marginal tax bracket is. That flat mandatory rate sits well below the top individual marginal rate. An employee whose marginal bracket is above the flat supplemental rate is guaranteed to be under-withheld on every vesting event, purely as a function of how the withholding rule is written — not because of any error by the employer or the employee.</w:t>
      </w:r>
    </w:p>
    <w:p>
      <w:pPr>
        <w:spacing w:after="140" w:line="276"/>
      </w:pPr>
      <w:r>
        <w:rPr>
          <w:rFonts w:ascii="Calibri" w:cs="Calibri" w:eastAsia="Calibri" w:hAnsi="Calibri"/>
          <w:sz w:val="21"/>
          <w:szCs w:val="21"/>
        </w:rPr>
        <w:t xml:space="preserve">The gap is easy to underestimate because it is silent: each individual paycheck looks normal, and nothing on a pay stub flags that the withholding rate applied does not match the employee's actual bracket. The shortfall only becomes visible at tax-filing time, by which point an entire year of vesting events has compounded into a single large balance due, frequently accompanied by an estimated-tax underpayment penalty because the shortfall persisted across multiple quarters rather than being caught and corrected mid-year.</w:t>
      </w:r>
    </w:p>
    <w:p>
      <w:pPr>
        <w:spacing w:after="140" w:line="276"/>
      </w:pPr>
      <w:r>
        <w:rPr>
          <w:rFonts w:ascii="Calibri" w:cs="Calibri" w:eastAsia="Calibri" w:hAnsi="Calibri"/>
          <w:sz w:val="21"/>
          <w:szCs w:val="21"/>
        </w:rPr>
        <w:t xml:space="preserve">The fix does not require quarterly estimated payments at all — it can be handled entirely through Form W-4. The IRS treats withholding from wages as if it were paid evenly across the entire year, regardless of when during the year it was actually withheld. This means additional withholding requested late in the year, timed around a large vesting event, can retroactively "cure" underpayment from earlier in the year in a way that a same-size estimated payment cannot, since estimated payments are only credited as of the quarter in which they are actually paid.</w:t>
      </w:r>
    </w:p>
    <w:p>
      <w:pPr>
        <w:pStyle w:val="ListParagraph"/>
        <w:numPr>
          <w:ilvl w:val="0"/>
          <w:numId w:val="2"/>
        </w:numPr>
        <w:spacing w:after="60" w:line="276"/>
      </w:pPr>
      <w:r>
        <w:rPr>
          <w:rFonts w:ascii="Calibri" w:cs="Calibri" w:eastAsia="Calibri" w:hAnsi="Calibri"/>
          <w:sz w:val="21"/>
          <w:szCs w:val="21"/>
        </w:rPr>
        <w:t xml:space="preserve">Calculate the dollar gap between the flat supplemental withholding rate and the employee's actual marginal bracket, applied to the RSU income expected to vest during the year, to size the additional withholding needed.</w:t>
      </w:r>
    </w:p>
    <w:p>
      <w:pPr>
        <w:pStyle w:val="ListParagraph"/>
        <w:numPr>
          <w:ilvl w:val="0"/>
          <w:numId w:val="2"/>
        </w:numPr>
        <w:spacing w:after="60" w:line="276"/>
      </w:pPr>
      <w:r>
        <w:rPr>
          <w:rFonts w:ascii="Calibri" w:cs="Calibri" w:eastAsia="Calibri" w:hAnsi="Calibri"/>
          <w:sz w:val="21"/>
          <w:szCs w:val="21"/>
        </w:rPr>
        <w:t xml:space="preserve">Use the "additional amount to withhold" line on Form W-4 to direct the employer to withhold a specific extra dollar amount each pay period (or concentrated around known vesting dates), rather than relying on the standard withholding tables alone.</w:t>
      </w:r>
    </w:p>
    <w:p>
      <w:pPr>
        <w:pStyle w:val="ListParagraph"/>
        <w:numPr>
          <w:ilvl w:val="0"/>
          <w:numId w:val="2"/>
        </w:numPr>
        <w:spacing w:after="60" w:line="276"/>
      </w:pPr>
      <w:r>
        <w:rPr>
          <w:rFonts w:ascii="Calibri" w:cs="Calibri" w:eastAsia="Calibri" w:hAnsi="Calibri"/>
          <w:sz w:val="21"/>
          <w:szCs w:val="21"/>
        </w:rPr>
        <w:t xml:space="preserve">Recompute the target whenever the vesting schedule changes materially — a new grant, an accelerated vest, or a stock-price move that changes the dollar value vesting can each shift the required additional withholding.</w:t>
      </w:r>
    </w:p>
    <w:p>
      <w:pPr>
        <w:pStyle w:val="ListParagraph"/>
        <w:numPr>
          <w:ilvl w:val="0"/>
          <w:numId w:val="2"/>
        </w:numPr>
        <w:spacing w:after="60" w:line="276"/>
      </w:pPr>
      <w:r>
        <w:rPr>
          <w:rFonts w:ascii="Calibri" w:cs="Calibri" w:eastAsia="Calibri" w:hAnsi="Calibri"/>
          <w:sz w:val="21"/>
          <w:szCs w:val="21"/>
        </w:rPr>
        <w:t xml:space="preserve">Coordinate the target against whichever safe-harbor threshold applies (generally the lesser of a percentage of the current year's tax or a higher percentage of the prior year's tax for higher-income taxpayers) so that withholding, not just eventual full payment, clears the underpayment-penalty threshold.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employee in the 37% marginal bracket has $400,000 of RSUs vest during the year. Her employer withholds at the flat 22% federal supplemental rate on the first portion and 37% only above the $1,000,000 annual supplemental-wage threshold (which she does not reach) — meaning most of that $400,000 is withheld at 22% when her actual marginal rate is 37%, a 15-percentage-point gap, or $60,000 under-withheld across the year's vesting events. Rather than making quarterly estimated payments, she calculates this $60,000 shortfall in November and submits a revised Form W-4 requesting an additional flat $60,000 be withheld from her final two paychecks of the year. Because the IRS treats all withholding as paid evenly across the year regardless of when it actually occurs, this single late-year correction cures the underpayment penalty on the earlier vesting events too — something a $60,000 estimated payment made in December could not do, since estimated payments are only credited to the quarter actually paid, not smoothed backward across the year.</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62. Depreciation Recapture Is Not Deferred by an Installment Sale</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w:t>
      </w:r>
    </w:p>
    <w:p>
      <w:pPr>
        <w:spacing w:after="140" w:line="276"/>
      </w:pPr>
      <w:r>
        <w:rPr>
          <w:rFonts w:ascii="Calibri" w:cs="Calibri" w:eastAsia="Calibri" w:hAnsi="Calibri"/>
          <w:sz w:val="21"/>
          <w:szCs w:val="21"/>
        </w:rPr>
        <w:t xml:space="preserve">A business owner selling equipment, vehicles, or other depreciated business assets — whether alone or as part of selling an entire business — often assumes that structuring the sale as an installment sale (spreading payments, and therefore the tax on the gain, over several years) defers all of the resulting tax. It does not. Depreciation recapture on personal property is required to be reported in full in the year of sale no matter how the payments are structured, which means a seller who is financed by the buyer over time can owe a substantial tax bill in the year of closing before most of the sale proceeds have actually been received.</w:t>
      </w:r>
    </w:p>
    <w:p>
      <w:pPr>
        <w:pStyle w:val="Heading2"/>
        <w:spacing w:after="80" w:before="200"/>
      </w:pPr>
      <w:r>
        <w:rPr>
          <w:rFonts w:ascii="Calibri" w:cs="Calibri" w:eastAsia="Calibri" w:hAnsi="Calibri"/>
          <w:b/>
          <w:bCs/>
          <w:color w:val="2E5496"/>
          <w:sz w:val="24"/>
          <w:szCs w:val="24"/>
        </w:rPr>
        <w:t xml:space="preserve">Why Recapture Is Carved Out of Installment-Sale Deferral</w:t>
      </w:r>
    </w:p>
    <w:p>
      <w:pPr>
        <w:spacing w:after="140" w:line="276"/>
      </w:pPr>
      <w:r>
        <w:rPr>
          <w:rFonts w:ascii="Calibri" w:cs="Calibri" w:eastAsia="Calibri" w:hAnsi="Calibri"/>
          <w:sz w:val="21"/>
          <w:szCs w:val="21"/>
        </w:rPr>
        <w:t xml:space="preserve">The installment-sale method normally lets a seller recognize gain proportionally as payments are actually received over the life of the note, rather than all at once in the year of sale — this is the mechanism most people mean when they talk about spreading out the tax on a sale. But the Internal Revenue Code specifically excludes depreciation recapture from that deferral: recapture income on depreciable personal property must be reported in full in the year of sale, regardless of how little cash actually changed hands that year. Only the remaining gain above the recapture amount — typically capital gain attributable to appreciation beyond original cost, or goodwill — is eligible to be spread over the installment period.</w:t>
      </w:r>
    </w:p>
    <w:p>
      <w:pPr>
        <w:spacing w:after="140" w:line="276"/>
      </w:pPr>
      <w:r>
        <w:rPr>
          <w:rFonts w:ascii="Calibri" w:cs="Calibri" w:eastAsia="Calibri" w:hAnsi="Calibri"/>
          <w:sz w:val="21"/>
          <w:szCs w:val="21"/>
        </w:rPr>
        <w:t xml:space="preserve">This carve-out exists because recapture is not really a preferential capital gain in the first place — it is the government reclaiming, at ordinary income rates, the benefit of depreciation deductions the seller already took against ordinary income in earlier years. Congress's view is that a seller should not also get to defer the tax on reversing those earlier ordinary deductions simply because the sale itself is financed over time.</w:t>
      </w:r>
    </w:p>
    <w:p>
      <w:pPr>
        <w:spacing w:after="140" w:line="276"/>
      </w:pPr>
      <w:r>
        <w:rPr>
          <w:rFonts w:ascii="Calibri" w:cs="Calibri" w:eastAsia="Calibri" w:hAnsi="Calibri"/>
          <w:sz w:val="21"/>
          <w:szCs w:val="21"/>
        </w:rPr>
        <w:t xml:space="preserve">The practical trap is a cash-flow mismatch: a seller who structures an owner-financed sale expecting tax liability to trickle in alongside the payments can instead face a large recapture tax bill in the very first year, funded out of a down payment that may be far smaller than the tax due. This is especially severe when the asset's tax basis is at or near zero — for instance because the seller previously took full bonus depreciation or § 179 expensing on it — since in that case nearly the entire sale price allocated to that asset becomes ordinary recapture income taxed in year one, with no offsetting basis to reduce it.</w:t>
      </w:r>
    </w:p>
    <w:p>
      <w:pPr>
        <w:pStyle w:val="ListParagraph"/>
        <w:numPr>
          <w:ilvl w:val="0"/>
          <w:numId w:val="2"/>
        </w:numPr>
        <w:spacing w:after="60" w:line="276"/>
      </w:pPr>
      <w:r>
        <w:rPr>
          <w:rFonts w:ascii="Calibri" w:cs="Calibri" w:eastAsia="Calibri" w:hAnsi="Calibri"/>
          <w:sz w:val="21"/>
          <w:szCs w:val="21"/>
        </w:rPr>
        <w:t xml:space="preserve">Before agreeing to any installment or owner-financed structure, obtain the depreciation schedules for every asset being sold to determine actual remaining tax basis — book value on a balance sheet is not a reliable stand-in for tax basis, especially where bonus depreciation or § 179 was used.</w:t>
      </w:r>
    </w:p>
    <w:p>
      <w:pPr>
        <w:pStyle w:val="ListParagraph"/>
        <w:numPr>
          <w:ilvl w:val="0"/>
          <w:numId w:val="2"/>
        </w:numPr>
        <w:spacing w:after="60" w:line="276"/>
      </w:pPr>
      <w:r>
        <w:rPr>
          <w:rFonts w:ascii="Calibri" w:cs="Calibri" w:eastAsia="Calibri" w:hAnsi="Calibri"/>
          <w:sz w:val="21"/>
          <w:szCs w:val="21"/>
        </w:rPr>
        <w:t xml:space="preserve">Negotiate the purchase-price allocation (typically documented on a form like IRS Form 8594) deliberately: how much of the price is assigned to depreciable equipment (ordinary recapture) versus goodwill or other capital-gain, installment-eligible categories directly controls how much of the gain can actually be deferred.</w:t>
      </w:r>
    </w:p>
    <w:p>
      <w:pPr>
        <w:pStyle w:val="ListParagraph"/>
        <w:numPr>
          <w:ilvl w:val="0"/>
          <w:numId w:val="2"/>
        </w:numPr>
        <w:spacing w:after="60" w:line="276"/>
      </w:pPr>
      <w:r>
        <w:rPr>
          <w:rFonts w:ascii="Calibri" w:cs="Calibri" w:eastAsia="Calibri" w:hAnsi="Calibri"/>
          <w:sz w:val="21"/>
          <w:szCs w:val="21"/>
        </w:rPr>
        <w:t xml:space="preserve">Model the year-one cash-versus-tax mismatch explicitly before signing: compare the actual cash received at closing (often just a down payment) against the recapture tax that will be due in full that same year, to confirm the seller can actually fund the bill.</w:t>
      </w:r>
    </w:p>
    <w:p>
      <w:pPr>
        <w:pStyle w:val="ListParagraph"/>
        <w:numPr>
          <w:ilvl w:val="0"/>
          <w:numId w:val="2"/>
        </w:numPr>
        <w:spacing w:after="60" w:line="276"/>
      </w:pPr>
      <w:r>
        <w:rPr>
          <w:rFonts w:ascii="Calibri" w:cs="Calibri" w:eastAsia="Calibri" w:hAnsi="Calibri"/>
          <w:sz w:val="21"/>
          <w:szCs w:val="21"/>
        </w:rPr>
        <w:t xml:space="preserve">Remember that recapture applies at the time of sale regardless of the payment structure — this is not something that can be avoided by choosing installment terms, only planned around by knowing the number in advance.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owner sells $600,000 of specialized equipment as part of winding down an operating company, agreeing to a $60,000 down payment with the remaining $540,000 paid over five years. The equipment was fully written off years earlier through bonus depreciation, leaving a tax basis near zero — meaning almost the entire $600,000 is § 1245 depreciation recapture, taxed as ordinary income. Under § 453(i), that recapture — roughly $600,000 taxed at a combined ~35% rate, or about $210,000 — is due in full on the return for the year of sale, regardless of the payment structure. The seller has received only $60,000 in cash that year, well short of the $210,000 tax bill, and must fund the $150,000 gap from other resources. Had the seller modeled remaining tax basis and the recapture exposure before signing (rather than assuming the installment structure would spread the entire tax bill alongside the payments), the down payment could have been negotiated upward specifically to cover the year-one recapture tax, avoiding the cash-flow crunch entirely.</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63. Current-Year Deduction of Domestic Research and Software Development Costs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w:t>
      </w:r>
    </w:p>
    <w:p>
      <w:pPr>
        <w:spacing w:after="140" w:line="276"/>
      </w:pPr>
      <w:r>
        <w:rPr>
          <w:rFonts w:ascii="Calibri" w:cs="Calibri" w:eastAsia="Calibri" w:hAnsi="Calibri"/>
          <w:sz w:val="21"/>
          <w:szCs w:val="21"/>
        </w:rPr>
        <w:t xml:space="preserve">For several years, businesses were required to spread the deduction for research and software-development costs — including most in-house software builds — over multiple years instead of deducting them immediately, which was a major cash-flow drag for any company investing heavily in product development. That mandatory multi-year spread has since been reversed for costs attributable to research conducted in the United States, restoring the ability to deduct qualifying domestic research and experimental expenditures in the year they are incurred — a materially different, and separate, benefit from the research tax credit.</w:t>
      </w:r>
    </w:p>
    <w:p>
      <w:pPr>
        <w:pStyle w:val="Heading2"/>
        <w:spacing w:after="80" w:before="200"/>
      </w:pPr>
      <w:r>
        <w:rPr>
          <w:rFonts w:ascii="Calibri" w:cs="Calibri" w:eastAsia="Calibri" w:hAnsi="Calibri"/>
          <w:b/>
          <w:bCs/>
          <w:color w:val="2E5496"/>
          <w:sz w:val="24"/>
          <w:szCs w:val="24"/>
        </w:rPr>
        <w:t xml:space="preserve">Immediate Expensing Versus the Research Credit — Two Different Benefits</w:t>
      </w:r>
    </w:p>
    <w:p>
      <w:pPr>
        <w:spacing w:after="140" w:line="276"/>
      </w:pPr>
      <w:r>
        <w:rPr>
          <w:rFonts w:ascii="Calibri" w:cs="Calibri" w:eastAsia="Calibri" w:hAnsi="Calibri"/>
          <w:sz w:val="21"/>
          <w:szCs w:val="21"/>
        </w:rPr>
        <w:t xml:space="preserve">It is easy to conflate current-year expensing of research costs with the separate research and development tax credit, but they operate independently and address different things. Immediate expensing is about the timing of a deduction — whether qualifying research and software-development costs reduce taxable income in the year spent, or must be capitalized and written off gradually over several years instead. The research credit, by contrast, is a dollar-for-dollar reduction in tax liability tied to the amount of qualifying research spending, calculated under its own separate rules. A business can be eligible for immediate expensing without separately qualifying for (or choosing to claim) the credit, and vice versa — the two should be evaluated on their own terms rather than assumed to travel together.</w:t>
      </w:r>
    </w:p>
    <w:p>
      <w:pPr>
        <w:spacing w:after="140" w:line="276"/>
      </w:pPr>
      <w:r>
        <w:rPr>
          <w:rFonts w:ascii="Calibri" w:cs="Calibri" w:eastAsia="Calibri" w:hAnsi="Calibri"/>
          <w:sz w:val="21"/>
          <w:szCs w:val="21"/>
        </w:rPr>
        <w:t xml:space="preserve">The distinction matters most for a growing company that is investing heavily in internally developed software or other research activity: without immediate expensing, that spending would otherwise sit on the balance sheet as a multi-year capitalized asset, meaning the tax deduction lags years behind the actual cash outlay — a serious mismatch for a company that needs the deduction now, not spread over the amortization period. Restoring current-year expensing for domestic research costs removes that mismatch and brings the tax treatment back in line with the economic reality of the spending.</w:t>
      </w:r>
    </w:p>
    <w:p>
      <w:pPr>
        <w:spacing w:after="140" w:line="276"/>
      </w:pPr>
      <w:r>
        <w:rPr>
          <w:rFonts w:ascii="Calibri" w:cs="Calibri" w:eastAsia="Calibri" w:hAnsi="Calibri"/>
          <w:sz w:val="21"/>
          <w:szCs w:val="21"/>
        </w:rPr>
        <w:t xml:space="preserve">Costs attributable to research conducted outside the United States remain subject to the slower, multi-year capitalization treatment even under current law — the immediate-expensing restoration applies specifically to domestic research activity, which makes where the development work is actually performed a meaningful planning fact, not just an administrative detail.</w:t>
      </w:r>
    </w:p>
    <w:p>
      <w:pPr>
        <w:pStyle w:val="ListParagraph"/>
        <w:numPr>
          <w:ilvl w:val="0"/>
          <w:numId w:val="2"/>
        </w:numPr>
        <w:spacing w:after="60" w:line="276"/>
      </w:pPr>
      <w:r>
        <w:rPr>
          <w:rFonts w:ascii="Calibri" w:cs="Calibri" w:eastAsia="Calibri" w:hAnsi="Calibri"/>
          <w:sz w:val="21"/>
          <w:szCs w:val="21"/>
        </w:rPr>
        <w:t xml:space="preserve">Confirm which of the company's research or software-development costs are attributable to work actually performed in the United States, since only domestic research costs qualify for the restored current-year expensing treatment.</w:t>
      </w:r>
    </w:p>
    <w:p>
      <w:pPr>
        <w:pStyle w:val="ListParagraph"/>
        <w:numPr>
          <w:ilvl w:val="0"/>
          <w:numId w:val="2"/>
        </w:numPr>
        <w:spacing w:after="60" w:line="276"/>
      </w:pPr>
      <w:r>
        <w:rPr>
          <w:rFonts w:ascii="Calibri" w:cs="Calibri" w:eastAsia="Calibri" w:hAnsi="Calibri"/>
          <w:sz w:val="21"/>
          <w:szCs w:val="21"/>
        </w:rPr>
        <w:t xml:space="preserve">Separately evaluate whether the same qualifying research spending also supports a research tax credit claim — the two benefits are independent and both should be modeled, not assumed to be mutually exclusive or automatically bundled.</w:t>
      </w:r>
    </w:p>
    <w:p>
      <w:pPr>
        <w:pStyle w:val="ListParagraph"/>
        <w:numPr>
          <w:ilvl w:val="0"/>
          <w:numId w:val="2"/>
        </w:numPr>
        <w:spacing w:after="60" w:line="276"/>
      </w:pPr>
      <w:r>
        <w:rPr>
          <w:rFonts w:ascii="Calibri" w:cs="Calibri" w:eastAsia="Calibri" w:hAnsi="Calibri"/>
          <w:sz w:val="21"/>
          <w:szCs w:val="21"/>
        </w:rPr>
        <w:t xml:space="preserve">Where research and development activity is deliberately isolated inside a separate entity (for example, to protect a future qualified small business stock position or to cleanly price an intercompany license), track and support qualifying research costs at that entity level from the outset, since retroactively reconstructing which costs qualify is far harder than logging them contemporaneously.</w:t>
      </w:r>
    </w:p>
    <w:p>
      <w:pPr>
        <w:pStyle w:val="ListParagraph"/>
        <w:numPr>
          <w:ilvl w:val="0"/>
          <w:numId w:val="2"/>
        </w:numPr>
        <w:spacing w:after="60" w:line="276"/>
      </w:pPr>
      <w:r>
        <w:rPr>
          <w:rFonts w:ascii="Calibri" w:cs="Calibri" w:eastAsia="Calibri" w:hAnsi="Calibri"/>
          <w:sz w:val="21"/>
          <w:szCs w:val="21"/>
        </w:rPr>
        <w:t xml:space="preserve">Watch for any transition or retroactive-election guidance tied to the years when the multi-year capitalization rule was in effect, since a business that already capitalized costs in a prior year may have a limited window to file an amended return and accelerate the previously deferred deduction — that window can close on a fixed date and is easy to miss without an explicit reminder.</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software company spends heavily on an internally built product throughout the year, all of it developed by an in-house engineering team working domestically. Under current law, those qualifying domestic development costs are deductible in the year incurred rather than spread over several years, materially improving the company's current-year cash-tax position. The company separately evaluates — and documents independently — whether the same spending supports a research and development tax credit, treating the credit analysis as a distinct exercise from the expensing determination rather than assuming one automatically follows the other.</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Because this expensing rule turns specifically on the research being domestic, a company with any offshore development team or research activity should keep clear records segregating domestic from foreign research spend — mixing the two without documentation makes it much harder to support the current-year deduction on audit.</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64. Paying Tuition or Medical Expenses Directly to Avoid Gift Tax</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Charitable &amp; Estate</w:t>
      </w:r>
    </w:p>
    <w:p>
      <w:pPr>
        <w:spacing w:after="140" w:line="276"/>
      </w:pPr>
      <w:r>
        <w:rPr>
          <w:rFonts w:ascii="Calibri" w:cs="Calibri" w:eastAsia="Calibri" w:hAnsi="Calibri"/>
          <w:sz w:val="21"/>
          <w:szCs w:val="21"/>
        </w:rPr>
        <w:t xml:space="preserve">A person who wants to help pay for a family member's tuition or medical care can do so in a way that does not use up any of their annual gift-tax exclusion and does not require filing a gift tax return at all — but only if the payment is made directly to the school or medical provider, never to the family member personally. Handing the same money to the family member first, even with an understanding that it will be used for tuition, forfeits this unlimited exclusion entirely and instead counts as an ordinary taxable gift subject to the usual annual limit.</w:t>
      </w:r>
    </w:p>
    <w:p>
      <w:pPr>
        <w:pStyle w:val="Heading2"/>
        <w:spacing w:after="80" w:before="200"/>
      </w:pPr>
      <w:r>
        <w:rPr>
          <w:rFonts w:ascii="Calibri" w:cs="Calibri" w:eastAsia="Calibri" w:hAnsi="Calibri"/>
          <w:b/>
          <w:bCs/>
          <w:color w:val="2E5496"/>
          <w:sz w:val="24"/>
          <w:szCs w:val="24"/>
        </w:rPr>
        <w:t xml:space="preserve">The Direct-Payment Requirement Is Absolute</w:t>
      </w:r>
    </w:p>
    <w:p>
      <w:pPr>
        <w:spacing w:after="140" w:line="276"/>
      </w:pPr>
      <w:r>
        <w:rPr>
          <w:rFonts w:ascii="Calibri" w:cs="Calibri" w:eastAsia="Calibri" w:hAnsi="Calibri"/>
          <w:sz w:val="21"/>
          <w:szCs w:val="21"/>
        </w:rPr>
        <w:t xml:space="preserve">The tax code allows an unlimited exclusion, on top of and separate from the ordinary annual gift-tax exclusion, for amounts paid directly to an educational institution for tuition or directly to a medical provider for medical care on behalf of another person. There is no dollar cap on this exclusion at all — someone can pay an unlimited amount of another person's tuition or medical bills this way, for any number of people, in any given year, without touching their annual exclusion or their lifetime gift and estate tax exemption.</w:t>
      </w:r>
    </w:p>
    <w:p>
      <w:pPr>
        <w:spacing w:after="140" w:line="276"/>
      </w:pPr>
      <w:r>
        <w:rPr>
          <w:rFonts w:ascii="Calibri" w:cs="Calibri" w:eastAsia="Calibri" w:hAnsi="Calibri"/>
          <w:sz w:val="21"/>
          <w:szCs w:val="21"/>
        </w:rPr>
        <w:t xml:space="preserve">The entire benefit depends on the payment going straight from the payor to the institution or provider — not through the beneficiary's hands first. If a grandparent instead writes a check to a grandchild, even earmarked in writing for tuition, and the grandchild then pays the school, the exclusion does not apply: the transfer to the grandchild is a completed gift to an individual, valued and taxed under the ordinary annual-exclusion rules, regardless of what the money is later spent on. The distinction is entirely about the mechanics of who is paid, not the payor's intent or the ultimate use of the funds.</w:t>
      </w:r>
    </w:p>
    <w:p>
      <w:pPr>
        <w:spacing w:after="140" w:line="276"/>
      </w:pPr>
      <w:r>
        <w:rPr>
          <w:rFonts w:ascii="Calibri" w:cs="Calibri" w:eastAsia="Calibri" w:hAnsi="Calibri"/>
          <w:sz w:val="21"/>
          <w:szCs w:val="21"/>
        </w:rPr>
        <w:t xml:space="preserve">The exclusion covers tuition itself, but generally does not extend to related costs like room and board, books, or supplies — those remain ordinary gifts if paid on the beneficiary's behalf, though they can still be covered using the payor's ordinary annual exclusion instead. On the medical side, the exclusion covers amounts paid directly to a provider for medical care as broadly defined for tax purposes, including qualifying insurance premiums paid directly to the insurer.</w:t>
      </w:r>
    </w:p>
    <w:p>
      <w:pPr>
        <w:pStyle w:val="ListParagraph"/>
        <w:numPr>
          <w:ilvl w:val="0"/>
          <w:numId w:val="2"/>
        </w:numPr>
        <w:spacing w:after="60" w:line="276"/>
      </w:pPr>
      <w:r>
        <w:rPr>
          <w:rFonts w:ascii="Calibri" w:cs="Calibri" w:eastAsia="Calibri" w:hAnsi="Calibri"/>
          <w:sz w:val="21"/>
          <w:szCs w:val="21"/>
        </w:rPr>
        <w:t xml:space="preserve">Always pay the institution or provider directly — by check, wire, or other payment made out to the school or medical provider itself, never to the student or patient — to preserve the unlimited exclusion.</w:t>
      </w:r>
    </w:p>
    <w:p>
      <w:pPr>
        <w:pStyle w:val="ListParagraph"/>
        <w:numPr>
          <w:ilvl w:val="0"/>
          <w:numId w:val="2"/>
        </w:numPr>
        <w:spacing w:after="60" w:line="276"/>
      </w:pPr>
      <w:r>
        <w:rPr>
          <w:rFonts w:ascii="Calibri" w:cs="Calibri" w:eastAsia="Calibri" w:hAnsi="Calibri"/>
          <w:sz w:val="21"/>
          <w:szCs w:val="21"/>
        </w:rPr>
        <w:t xml:space="preserve">Remember the exclusion covers tuition and direct medical care, not ancillary costs like room, board, books, or supplies — plan to cover those, if desired, using the payor's separate ordinary annual gift exclusion instead.</w:t>
      </w:r>
    </w:p>
    <w:p>
      <w:pPr>
        <w:pStyle w:val="ListParagraph"/>
        <w:numPr>
          <w:ilvl w:val="0"/>
          <w:numId w:val="2"/>
        </w:numPr>
        <w:spacing w:after="60" w:line="276"/>
      </w:pPr>
      <w:r>
        <w:rPr>
          <w:rFonts w:ascii="Calibri" w:cs="Calibri" w:eastAsia="Calibri" w:hAnsi="Calibri"/>
          <w:sz w:val="21"/>
          <w:szCs w:val="21"/>
        </w:rPr>
        <w:t xml:space="preserve">This exclusion can be combined with the ordinary annual gift exclusion in the same year for the same beneficiary — a payor can pay tuition directly under this unlimited exclusion and separately give an ordinary cash gift up to the annual limit to the same person without either transfer affecting the other.</w:t>
      </w:r>
    </w:p>
    <w:p>
      <w:pPr>
        <w:pStyle w:val="ListParagraph"/>
        <w:numPr>
          <w:ilvl w:val="0"/>
          <w:numId w:val="2"/>
        </w:numPr>
        <w:spacing w:after="60" w:line="276"/>
      </w:pPr>
      <w:r>
        <w:rPr>
          <w:rFonts w:ascii="Calibri" w:cs="Calibri" w:eastAsia="Calibri" w:hAnsi="Calibri"/>
          <w:sz w:val="21"/>
          <w:szCs w:val="21"/>
        </w:rPr>
        <w:t xml:space="preserve">This works for any generous individual paying for anyone's education or medical care — grandparent to grandchild, aunt to niece, or unrelated friend to friend — the exclusion is not limited to any particular family relationship.</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grandparent wants to help fund a grandchild's $55,000-a-year college tuition, well above the $19,000 annual gift-tax exclusion. Paying the university's bursar's office directly each semester ($27,500 per payment, $55,000 for the year) falls entirely under the unlimited educational-expense exclusion — no gift tax return required, and none of the grandparent's $19,000 annual exclusion or multi-million-dollar lifetime exemption is used, no matter how many years or how many grandchildren this is repeated for. The grandparent can then separately give the same grandchild up to $19,000 in cash that same year (for rent, books, or anything else) without either transfer affecting the other. Contrast this with a grandparent who instead deposits $55,000 into the grandchild's bank account, with an understanding it will be used for tuition: because the money passed through the grandchild's hands first, the entire $55,000 is a completed ordinary gift — $19,000 covered by the annual exclusion and the remaining $36,000 either using up part of the grandparent's lifetime exemption or, if unavailable, generating gift tax — solely because of which account the check was written to, not because of what the money was ultimately spent on.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65. Deferring Gain on an Involuntary Conversion Under § 1033</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w:t>
      </w:r>
    </w:p>
    <w:p>
      <w:pPr>
        <w:spacing w:after="140" w:line="276"/>
      </w:pPr>
      <w:r>
        <w:rPr>
          <w:rFonts w:ascii="Calibri" w:cs="Calibri" w:eastAsia="Calibri" w:hAnsi="Calibri"/>
          <w:sz w:val="21"/>
          <w:szCs w:val="21"/>
        </w:rPr>
        <w:t xml:space="preserve">When business or investment property is destroyed, stolen, condemned, or otherwise involuntarily taken — and the owner receives insurance or condemnation proceeds that exceed the property's tax basis — that excess is normally a taxable gain in the year received, exactly as if the property had been voluntarily sold. A separate provision of the tax code allows that gain to be deferred, without any of the complex mechanics of a like-kind exchange, if the proceeds are reinvested into replacement property that is similar or related in service or use, within a set time window after the loss.</w:t>
      </w:r>
    </w:p>
    <w:p>
      <w:pPr>
        <w:pStyle w:val="Heading2"/>
        <w:spacing w:after="80" w:before="200"/>
      </w:pPr>
      <w:r>
        <w:rPr>
          <w:rFonts w:ascii="Calibri" w:cs="Calibri" w:eastAsia="Calibri" w:hAnsi="Calibri"/>
          <w:b/>
          <w:bCs/>
          <w:color w:val="2E5496"/>
          <w:sz w:val="24"/>
          <w:szCs w:val="24"/>
        </w:rPr>
        <w:t xml:space="preserve">How Involuntary-Conversion Deferral Differs from an Ordinary Sale</w:t>
      </w:r>
    </w:p>
    <w:p>
      <w:pPr>
        <w:spacing w:after="140" w:line="276"/>
      </w:pPr>
      <w:r>
        <w:rPr>
          <w:rFonts w:ascii="Calibri" w:cs="Calibri" w:eastAsia="Calibri" w:hAnsi="Calibri"/>
          <w:sz w:val="21"/>
          <w:szCs w:val="21"/>
        </w:rPr>
        <w:t xml:space="preserve">An involuntary conversion happens when property is destroyed by casualty, stolen, condemned by a government authority, or disposed of under the threat of condemnation — situations where the owner did not choose to give up the property, unlike an ordinary sale. When the resulting insurance or condemnation payment exceeds the property's adjusted tax basis, the excess is realized gain, taxable in the ordinary course exactly like a sale gain — unless the owner elects to defer it under this provision by reinvesting in qualifying replacement property.</w:t>
      </w:r>
    </w:p>
    <w:p>
      <w:pPr>
        <w:spacing w:after="140" w:line="276"/>
      </w:pPr>
      <w:r>
        <w:rPr>
          <w:rFonts w:ascii="Calibri" w:cs="Calibri" w:eastAsia="Calibri" w:hAnsi="Calibri"/>
          <w:sz w:val="21"/>
          <w:szCs w:val="21"/>
        </w:rPr>
        <w:t xml:space="preserve">The replacement property generally must be "similar or related in service or use" to the property that was lost — a standard that, for property used in a trade or business or held for investment, is somewhat more flexible than the very strict like-kind standard, but still requires the replacement to serve a comparable function, not merely fall into the same broad category of asset. The reinvestment must generally occur within a set period after the close of the tax year in which any part of the gain is realized — commonly a two-year window, though certain conversions (including some government condemnations) allow a longer period.</w:t>
      </w:r>
    </w:p>
    <w:p>
      <w:pPr>
        <w:spacing w:after="140" w:line="276"/>
      </w:pPr>
      <w:r>
        <w:rPr>
          <w:rFonts w:ascii="Calibri" w:cs="Calibri" w:eastAsia="Calibri" w:hAnsi="Calibri"/>
          <w:sz w:val="21"/>
          <w:szCs w:val="21"/>
        </w:rPr>
        <w:t xml:space="preserve">Unlike a routine sale, there is no requirement to use a qualified intermediary or any of the strict identification-period mechanics associated with a deferred like-kind exchange — the owner can simply receive the insurance or condemnation proceeds directly and then reinvest them within the applicable window, electing deferral on the return for the year the gain is realized. If the replacement property costs less than the amount realized, only the shortfall is currently taxable; the deferred gain reduces the basis of the replacement property, preserving it to be taxed later if and when the replacement property itself is eventually sold in a taxable transaction.</w:t>
      </w:r>
    </w:p>
    <w:p>
      <w:pPr>
        <w:pStyle w:val="ListParagraph"/>
        <w:numPr>
          <w:ilvl w:val="0"/>
          <w:numId w:val="2"/>
        </w:numPr>
        <w:spacing w:after="60" w:line="276"/>
      </w:pPr>
      <w:r>
        <w:rPr>
          <w:rFonts w:ascii="Calibri" w:cs="Calibri" w:eastAsia="Calibri" w:hAnsi="Calibri"/>
          <w:sz w:val="21"/>
          <w:szCs w:val="21"/>
        </w:rPr>
        <w:t xml:space="preserve">Confirm the event actually qualifies as an involuntary conversion — a casualty, theft, condemnation, or sale under threat of condemnation — rather than an ordinary voluntary disposition, since only involuntary conversions qualify for this deferral.</w:t>
      </w:r>
    </w:p>
    <w:p>
      <w:pPr>
        <w:pStyle w:val="ListParagraph"/>
        <w:numPr>
          <w:ilvl w:val="0"/>
          <w:numId w:val="2"/>
        </w:numPr>
        <w:spacing w:after="60" w:line="276"/>
      </w:pPr>
      <w:r>
        <w:rPr>
          <w:rFonts w:ascii="Calibri" w:cs="Calibri" w:eastAsia="Calibri" w:hAnsi="Calibri"/>
          <w:sz w:val="21"/>
          <w:szCs w:val="21"/>
        </w:rPr>
        <w:t xml:space="preserve">Track the applicable reinvestment window carefully from the date gain is first realized, not from the date of the original loss event, and confirm which window length applies to the specific type of conversion involved.</w:t>
      </w:r>
    </w:p>
    <w:p>
      <w:pPr>
        <w:pStyle w:val="ListParagraph"/>
        <w:numPr>
          <w:ilvl w:val="0"/>
          <w:numId w:val="2"/>
        </w:numPr>
        <w:spacing w:after="60" w:line="276"/>
      </w:pPr>
      <w:r>
        <w:rPr>
          <w:rFonts w:ascii="Calibri" w:cs="Calibri" w:eastAsia="Calibri" w:hAnsi="Calibri"/>
          <w:sz w:val="21"/>
          <w:szCs w:val="21"/>
        </w:rPr>
        <w:t xml:space="preserve">Make sure the replacement property is genuinely similar or related in service or use to what was lost — simply buying another asset in the same general category is not automatically sufficient if its actual function or use differs meaningfully from the property replaced.</w:t>
      </w:r>
    </w:p>
    <w:p>
      <w:pPr>
        <w:pStyle w:val="ListParagraph"/>
        <w:numPr>
          <w:ilvl w:val="0"/>
          <w:numId w:val="2"/>
        </w:numPr>
        <w:spacing w:after="60" w:line="276"/>
      </w:pPr>
      <w:r>
        <w:rPr>
          <w:rFonts w:ascii="Calibri" w:cs="Calibri" w:eastAsia="Calibri" w:hAnsi="Calibri"/>
          <w:sz w:val="21"/>
          <w:szCs w:val="21"/>
        </w:rPr>
        <w:t xml:space="preserve">Elect the deferral affirmatively on the tax return for the year the gain is realized — this is not automatic, and the mechanics of proper basis carryover into the replacement property should be documented at the time of the election, not reconstructed later.</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business's specialized manufacturing equipment, with a remaining tax basis of $80,000, is destroyed in a fire. The insurance payout is $350,000, producing a $270,000 realized gain if recognized immediately. Within the two-year reinvestment window, the business purchases similar replacement equipment for $400,000 and elects § 1033 deferral on that year's return. Because the replacement cost ($400,000) exceeds the amount realized ($350,000), none of the $270,000 gain is currently taxable — it is instead deferred by reducing the replacement equipment's basis by the full $270,000, from $400,000 down to $130,000. The business saves roughly $57,000 in immediate tax at a 21% corporate rate, at the cost of smaller future depreciation deductions on the replacement equipment (computed on the reduced $130,000 basis rather than the full $400,000) and a larger eventual gain if the replacement equipment is later sold — a genuine deferral, not an elimination, of the original $270,000.</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66. The § 530 Safe Harbor for Worker Classification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  ·  IRS Compliance &amp; Risk Management</w:t>
      </w:r>
    </w:p>
    <w:p>
      <w:pPr>
        <w:spacing w:after="140" w:line="276"/>
      </w:pPr>
      <w:r>
        <w:rPr>
          <w:rFonts w:ascii="Calibri" w:cs="Calibri" w:eastAsia="Calibri" w:hAnsi="Calibri"/>
          <w:sz w:val="21"/>
          <w:szCs w:val="21"/>
        </w:rPr>
        <w:t xml:space="preserve">A business that has consistently treated a category of workers as independent contractors, rather than employees, can have real exposure if the IRS later decides those workers should have been classified as employees — back payroll taxes, penalties, and interest can apply retroactively across every year the misclassification occurred. A long-standing statutory safe harbor can eliminate that federal employment-tax exposure entirely, even if the underlying worker-classification determination would otherwise have gone the other way, provided the business meets a specific set of consistency and reporting conditions.</w:t>
      </w:r>
    </w:p>
    <w:p>
      <w:pPr>
        <w:pStyle w:val="Heading2"/>
        <w:spacing w:after="80" w:before="200"/>
      </w:pPr>
      <w:r>
        <w:rPr>
          <w:rFonts w:ascii="Calibri" w:cs="Calibri" w:eastAsia="Calibri" w:hAnsi="Calibri"/>
          <w:b/>
          <w:bCs/>
          <w:color w:val="2E5496"/>
          <w:sz w:val="24"/>
          <w:szCs w:val="24"/>
        </w:rPr>
        <w:t xml:space="preserve">What the Safe Harbor Actually Protects, and What It Does Not</w:t>
      </w:r>
    </w:p>
    <w:p>
      <w:pPr>
        <w:spacing w:after="140" w:line="276"/>
      </w:pPr>
      <w:r>
        <w:rPr>
          <w:rFonts w:ascii="Calibri" w:cs="Calibri" w:eastAsia="Calibri" w:hAnsi="Calibri"/>
          <w:sz w:val="21"/>
          <w:szCs w:val="21"/>
        </w:rPr>
        <w:t xml:space="preserve">This relief provision does not ask whether a worker was correctly classified as an independent contractor under the common-law employment test — it operates as a separate safe harbor that can protect a business from federal employment-tax liability even where the underlying classification was, in fact, wrong. To qualify, the business generally must show three things: it has consistently treated the worker (and any similarly situated workers) as a non-employee; it has consistently filed all federal returns and information returns (such as Form 1099s) required for the worker on that non-employee basis; and it had some "reasonable basis" for treating the worker as a non-employee in the first place — which can include reliance on a long-standing recognized industry practice, prior IRS audit results that did not challenge the classification, or advice from a qualified professional, among other recognized bases.</w:t>
      </w:r>
    </w:p>
    <w:p>
      <w:pPr>
        <w:spacing w:after="140" w:line="276"/>
      </w:pPr>
      <w:r>
        <w:rPr>
          <w:rFonts w:ascii="Calibri" w:cs="Calibri" w:eastAsia="Calibri" w:hAnsi="Calibri"/>
          <w:sz w:val="21"/>
          <w:szCs w:val="21"/>
        </w:rPr>
        <w:t xml:space="preserve">The consistency requirement is unforgiving in one specific way: treating even one similarly situated worker as an employee, while treating others in the same role as contractors, can undermine the safe harbor for the whole class of workers, because it breaks the "consistent treatment" element the relief depends on. A business that wants to preserve this protection needs to apply the same classification treatment across every worker performing a substantially similar role, not selectively.</w:t>
      </w:r>
    </w:p>
    <w:p>
      <w:pPr>
        <w:spacing w:after="140" w:line="276"/>
      </w:pPr>
      <w:r>
        <w:rPr>
          <w:rFonts w:ascii="Calibri" w:cs="Calibri" w:eastAsia="Calibri" w:hAnsi="Calibri"/>
          <w:sz w:val="21"/>
          <w:szCs w:val="21"/>
        </w:rPr>
        <w:t xml:space="preserve">It is important to understand the scope of what this relief covers: it is federal employment-tax relief specifically, primarily protecting against the employer's share of federal payroll taxes, related penalties, and interest for the years in question. It does not by itself resolve worker-classification questions under other state agencies (such as a state workforce or unemployment agency) or under other federal or state laws entirely unrelated to tax, such as wage-and-hour or benefits law — those can reach different classification conclusions under their own separate standards, independent of whether this federal tax safe harbor applies.</w:t>
      </w:r>
    </w:p>
    <w:p>
      <w:pPr>
        <w:pStyle w:val="ListParagraph"/>
        <w:numPr>
          <w:ilvl w:val="0"/>
          <w:numId w:val="2"/>
        </w:numPr>
        <w:spacing w:after="60" w:line="276"/>
      </w:pPr>
      <w:r>
        <w:rPr>
          <w:rFonts w:ascii="Calibri" w:cs="Calibri" w:eastAsia="Calibri" w:hAnsi="Calibri"/>
          <w:sz w:val="21"/>
          <w:szCs w:val="21"/>
        </w:rPr>
        <w:t xml:space="preserve">Confirm every worker in the same role has been treated consistently as a non-employee — across the whole class of similarly situated workers, not just the specific worker under examination — since inconsistent treatment can forfeit the relief entirely.</w:t>
      </w:r>
    </w:p>
    <w:p>
      <w:pPr>
        <w:pStyle w:val="ListParagraph"/>
        <w:numPr>
          <w:ilvl w:val="0"/>
          <w:numId w:val="2"/>
        </w:numPr>
        <w:spacing w:after="60" w:line="276"/>
      </w:pPr>
      <w:r>
        <w:rPr>
          <w:rFonts w:ascii="Calibri" w:cs="Calibri" w:eastAsia="Calibri" w:hAnsi="Calibri"/>
          <w:sz w:val="21"/>
          <w:szCs w:val="21"/>
        </w:rPr>
        <w:t xml:space="preserve">File all required information returns (such as Form 1099s) for every year the worker was treated as a non-employee — a gap in filing for even one year can undermine the reporting-consistency requirement.</w:t>
      </w:r>
    </w:p>
    <w:p>
      <w:pPr>
        <w:pStyle w:val="ListParagraph"/>
        <w:numPr>
          <w:ilvl w:val="0"/>
          <w:numId w:val="2"/>
        </w:numPr>
        <w:spacing w:after="60" w:line="276"/>
      </w:pPr>
      <w:r>
        <w:rPr>
          <w:rFonts w:ascii="Calibri" w:cs="Calibri" w:eastAsia="Calibri" w:hAnsi="Calibri"/>
          <w:sz w:val="21"/>
          <w:szCs w:val="21"/>
        </w:rPr>
        <w:t xml:space="preserve">Document the "reasonable basis" relied upon at the time the classification decision was made — a written record contemporaneous with the decision (citing industry practice, professional advice, or a prior audit result, for example) is far more persuasive than a reconstruction assembled after an IRS inquiry has already begun.</w:t>
      </w:r>
    </w:p>
    <w:p>
      <w:pPr>
        <w:pStyle w:val="ListParagraph"/>
        <w:numPr>
          <w:ilvl w:val="0"/>
          <w:numId w:val="2"/>
        </w:numPr>
        <w:spacing w:after="60" w:line="276"/>
      </w:pPr>
      <w:r>
        <w:rPr>
          <w:rFonts w:ascii="Calibri" w:cs="Calibri" w:eastAsia="Calibri" w:hAnsi="Calibri"/>
          <w:sz w:val="21"/>
          <w:szCs w:val="21"/>
        </w:rPr>
        <w:t xml:space="preserve">Remember this relief addresses federal employment tax specifically — it does not automatically resolve exposure under state unemployment or workforce agencies, or under wage-and-hour and benefits law, each of which applies its own separate classification test.</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has engaged a category of specialized workers as independent contractors for many years, filing the appropriate 1099 information returns for each of them every year and relying on the fact that this treatment matches long-standing common practice across its industry. When one of these workers is given a title suggesting a more employee-like managerial role, the business proactively moves that specific worker to W-2 employee status going forward, while confirming that everyone else performing the original, more clearly contractor-like role continues to be treated consistently as a contractor. Documenting the industry-practice basis and maintaining consistent treatment and filing across the remaining contractor group preserves the federal safe-harbor protection for that group, even though the reclassified worker's role was moved off it.</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This relief is specifically about federal payroll tax exposure — a business relying on it should still separately confirm its position holds up, or budget for the possibility that it will not, under whatever state unemployment-insurance and wage-and-hour rules also apply to the same workers.</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67. The Work Opportunity Tax Credit for Hiring From Targeted Groups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w:t>
      </w:r>
    </w:p>
    <w:p>
      <w:pPr>
        <w:spacing w:after="140" w:line="276"/>
      </w:pPr>
      <w:r>
        <w:rPr>
          <w:rFonts w:ascii="Calibri" w:cs="Calibri" w:eastAsia="Calibri" w:hAnsi="Calibri"/>
          <w:sz w:val="21"/>
          <w:szCs w:val="21"/>
        </w:rPr>
        <w:t xml:space="preserve">A business that is hiring — especially one adding several employees at once — can claim a federal income tax credit worth a meaningful percentage of first-year wages for each new hire who belongs to one of several federally defined targeted groups, such as long-term unemployment recipients, veterans, or people receiving certain public assistance. The credit is entirely lost, permanently and with no exceptions, if a specific pre-screening form is not submitted within a short window that starts on the employee's very first day of work — making this a strategy that has to be built into the hiring process itself, not something that can be claimed retroactively after the fact.</w:t>
      </w:r>
    </w:p>
    <w:p>
      <w:pPr>
        <w:pStyle w:val="Heading2"/>
        <w:spacing w:after="80" w:before="200"/>
      </w:pPr>
      <w:r>
        <w:rPr>
          <w:rFonts w:ascii="Calibri" w:cs="Calibri" w:eastAsia="Calibri" w:hAnsi="Calibri"/>
          <w:b/>
          <w:bCs/>
          <w:color w:val="2E5496"/>
          <w:sz w:val="24"/>
          <w:szCs w:val="24"/>
        </w:rPr>
        <w:t xml:space="preserve">A Credit That Is Won or Lost at the Hiring Stage</w:t>
      </w:r>
    </w:p>
    <w:p>
      <w:pPr>
        <w:spacing w:after="140" w:line="276"/>
      </w:pPr>
      <w:r>
        <w:rPr>
          <w:rFonts w:ascii="Calibri" w:cs="Calibri" w:eastAsia="Calibri" w:hAnsi="Calibri"/>
          <w:sz w:val="21"/>
          <w:szCs w:val="21"/>
        </w:rPr>
        <w:t xml:space="preserve">The work opportunity credit rewards hiring from a specific list of targeted groups defined by statute — categories that have historically included qualified veterans, long-term unemployment recipients, recipients of certain public-assistance programs, ex-felons, and several other specifically enumerated groups. The credit amount is generally calculated as a percentage of the new employee's qualified first-year wages, up to a wage cap that can vary by target group, with certain veteran categories eligible for a higher cap.</w:t>
      </w:r>
    </w:p>
    <w:p>
      <w:pPr>
        <w:spacing w:after="140" w:line="276"/>
      </w:pPr>
      <w:r>
        <w:rPr>
          <w:rFonts w:ascii="Calibri" w:cs="Calibri" w:eastAsia="Calibri" w:hAnsi="Calibri"/>
          <w:sz w:val="21"/>
          <w:szCs w:val="21"/>
        </w:rPr>
        <w:t xml:space="preserve">The single most important — and most commonly missed — requirement is procedural rather than substantive: the employer and the job applicant must jointly complete a pre-screening notice, generally within a short number of days after the employee's start date, and submit it to the relevant state workforce agency for certification that the employee qualifies under one of the targeted groups. This screening cannot happen after the fact. A business that hires someone who would have qualified, but fails to complete and submit this pre-screening form within the required window, permanently forfeits the credit for that employee — there is no retroactive fix, no late-filing relief in the ordinary case, and no way to claim the credit later once the window has closed.</w:t>
      </w:r>
    </w:p>
    <w:p>
      <w:pPr>
        <w:spacing w:after="140" w:line="276"/>
      </w:pPr>
      <w:r>
        <w:rPr>
          <w:rFonts w:ascii="Calibri" w:cs="Calibri" w:eastAsia="Calibri" w:hAnsi="Calibri"/>
          <w:sz w:val="21"/>
          <w:szCs w:val="21"/>
        </w:rPr>
        <w:t xml:space="preserve">Because of that hard deadline, this credit only works as a systematic part of the hiring process — every new hire needs to be screened for potential eligibility as part of onboarding paperwork, before or immediately after their start date, rather than being evaluated only once a business happens to think of it. A business hiring in any real volume that is not doing this screening as standard practice is very likely leaving a recurring, entirely avoidable credit on the table with every hiring cycle.</w:t>
      </w:r>
    </w:p>
    <w:p>
      <w:pPr>
        <w:pStyle w:val="ListParagraph"/>
        <w:numPr>
          <w:ilvl w:val="0"/>
          <w:numId w:val="2"/>
        </w:numPr>
        <w:spacing w:after="60" w:line="276"/>
      </w:pPr>
      <w:r>
        <w:rPr>
          <w:rFonts w:ascii="Calibri" w:cs="Calibri" w:eastAsia="Calibri" w:hAnsi="Calibri"/>
          <w:sz w:val="21"/>
          <w:szCs w:val="21"/>
        </w:rPr>
        <w:t xml:space="preserve">Build the pre-screening notice into standard new-hire onboarding paperwork for every position, not just for hires who obviously look like they might qualify — eligibility for several targeted groups is not visually or resume-apparent.</w:t>
      </w:r>
    </w:p>
    <w:p>
      <w:pPr>
        <w:pStyle w:val="ListParagraph"/>
        <w:numPr>
          <w:ilvl w:val="0"/>
          <w:numId w:val="2"/>
        </w:numPr>
        <w:spacing w:after="60" w:line="276"/>
      </w:pPr>
      <w:r>
        <w:rPr>
          <w:rFonts w:ascii="Calibri" w:cs="Calibri" w:eastAsia="Calibri" w:hAnsi="Calibri"/>
          <w:sz w:val="21"/>
          <w:szCs w:val="21"/>
        </w:rPr>
        <w:t xml:space="preserve">Submit the completed pre-screening form to the relevant state workforce agency within the required short window after the employee's start date — track this deadline as strictly as any other compliance deadline, since it cannot be cured after the fact.</w:t>
      </w:r>
    </w:p>
    <w:p>
      <w:pPr>
        <w:pStyle w:val="ListParagraph"/>
        <w:numPr>
          <w:ilvl w:val="0"/>
          <w:numId w:val="2"/>
        </w:numPr>
        <w:spacing w:after="60" w:line="276"/>
      </w:pPr>
      <w:r>
        <w:rPr>
          <w:rFonts w:ascii="Calibri" w:cs="Calibri" w:eastAsia="Calibri" w:hAnsi="Calibri"/>
          <w:sz w:val="21"/>
          <w:szCs w:val="21"/>
        </w:rPr>
        <w:t xml:space="preserve">Once state certification is received confirming a hire's eligibility, claim the credit on the appropriate federal income tax credit form for the year, coordinating with payroll to have the wage data ready.</w:t>
      </w:r>
    </w:p>
    <w:p>
      <w:pPr>
        <w:pStyle w:val="ListParagraph"/>
        <w:numPr>
          <w:ilvl w:val="0"/>
          <w:numId w:val="2"/>
        </w:numPr>
        <w:spacing w:after="60" w:line="276"/>
      </w:pPr>
      <w:r>
        <w:rPr>
          <w:rFonts w:ascii="Calibri" w:cs="Calibri" w:eastAsia="Calibri" w:hAnsi="Calibri"/>
          <w:sz w:val="21"/>
          <w:szCs w:val="21"/>
        </w:rPr>
        <w:t xml:space="preserve">For a business hiring at meaningful volume, consider integrating pre-screening directly into the payroll or HR onboarding software used, so the notice is generated automatically for every new hire rather than depending on someone remembering to do it manually.</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growing business plans to hire several new employees over the coming months as it scales up operations. As part of standardizing its onboarding process, it builds the federal pre-screening notice into its new-hire paperwork packet, so every new employee completes it alongside their standard tax withholding forms on day one, and the completed forms are submitted to the state workforce agency within the required window without fail. Several of the new hires turn out to qualify under one or more targeted groups, and the business claims a meaningful credit against each of their first-year wages — a result that would have been completely unavailable had the screening not been built into the process from the very first hire, since the credit cannot be claimed retroactively once the submission window has closed.</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Because the credit is tied to wages actually paid and requires state certification, it works best as a recurring, systematized part of the hiring process rather than a one-time review — a business that only thinks to check for this credit once a year, after hires have already started, will find it is already too late for most or all of them.</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68. Investing for Federal Tax Credits Through Low-Income Housing Syndication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Real Estate  ·  Individual / Investment</w:t>
      </w:r>
    </w:p>
    <w:p>
      <w:pPr>
        <w:spacing w:after="140" w:line="276"/>
      </w:pPr>
      <w:r>
        <w:rPr>
          <w:rFonts w:ascii="Calibri" w:cs="Calibri" w:eastAsia="Calibri" w:hAnsi="Calibri"/>
          <w:sz w:val="21"/>
          <w:szCs w:val="21"/>
        </w:rPr>
        <w:t xml:space="preserve">Rather than developing or operating a property directly, an investor can put capital into a professionally managed syndication that owns and operates qualifying low-income rental housing, in exchange for an allocated share of a federal tax credit that is claimed annually over a multi-year credit period. This is a passive, credit-driven investment — the return comes substantially from the tax credit itself, not primarily from rental cash flow or eventual appreciation, which makes it a fundamentally different kind of real estate investment than buying and operating rental property directly.</w:t>
      </w:r>
    </w:p>
    <w:p>
      <w:pPr>
        <w:pStyle w:val="Heading2"/>
        <w:spacing w:after="80" w:before="200"/>
      </w:pPr>
      <w:r>
        <w:rPr>
          <w:rFonts w:ascii="Calibri" w:cs="Calibri" w:eastAsia="Calibri" w:hAnsi="Calibri"/>
          <w:b/>
          <w:bCs/>
          <w:color w:val="2E5496"/>
          <w:sz w:val="24"/>
          <w:szCs w:val="24"/>
        </w:rPr>
        <w:t xml:space="preserve">A Credit-Driven, Not Cash-Flow-Driven, Investment</w:t>
      </w:r>
    </w:p>
    <w:p>
      <w:pPr>
        <w:spacing w:after="140" w:line="276"/>
      </w:pPr>
      <w:r>
        <w:rPr>
          <w:rFonts w:ascii="Calibri" w:cs="Calibri" w:eastAsia="Calibri" w:hAnsi="Calibri"/>
          <w:sz w:val="21"/>
          <w:szCs w:val="21"/>
        </w:rPr>
        <w:t xml:space="preserve">This federal credit is awarded, through state housing agencies, to properties that commit to renting a defined portion of their units to lower-income tenants at restricted rents, for an extended compliance period that typically runs well over a decade. Because most investors are not in the business of developing or operating affordable housing themselves, the credit is usually accessed by investing as a limited partner (or a similar passive investor role) in a syndicated fund that pools capital across one or multiple qualifying properties, with a sponsor handling development, management, and compliance.</w:t>
      </w:r>
    </w:p>
    <w:p>
      <w:pPr>
        <w:spacing w:after="140" w:line="276"/>
      </w:pPr>
      <w:r>
        <w:rPr>
          <w:rFonts w:ascii="Calibri" w:cs="Calibri" w:eastAsia="Calibri" w:hAnsi="Calibri"/>
          <w:sz w:val="21"/>
          <w:szCs w:val="21"/>
        </w:rPr>
        <w:t xml:space="preserve">The investor's return is structured very differently from a typical rental-property investment: instead of relying primarily on rental income or a future sale for its economics, the bulk of the investor's benefit comes from an allocated stream of tax credits claimed against federal income tax liability, spread out annually over the credit period, plus whatever modest cash flow or eventual disposition proceeds the underlying properties generate (often minimal, by design, since rents are restricted). An investor evaluating this opportunity needs to underwrite it primarily as a tax-credit stream with a defined schedule, not as a conventional real estate cash-flow deal.</w:t>
      </w:r>
    </w:p>
    <w:p>
      <w:pPr>
        <w:spacing w:after="140" w:line="276"/>
      </w:pPr>
      <w:r>
        <w:rPr>
          <w:rFonts w:ascii="Calibri" w:cs="Calibri" w:eastAsia="Calibri" w:hAnsi="Calibri"/>
          <w:sz w:val="21"/>
          <w:szCs w:val="21"/>
        </w:rPr>
        <w:t xml:space="preserve">Because these credits are subject to recapture if the property fails to maintain its low-income compliance requirements during the compliance period, an investor is exposed to the sponsor's ongoing operational and compliance performance for years after the initial investment is made — a risk that has nothing to do with the investor's own actions, but everything to do with due diligence on the sponsor's track record and the specific property or portfolio before committing capital.</w:t>
      </w:r>
    </w:p>
    <w:p>
      <w:pPr>
        <w:pStyle w:val="ListParagraph"/>
        <w:numPr>
          <w:ilvl w:val="0"/>
          <w:numId w:val="2"/>
        </w:numPr>
        <w:spacing w:after="60" w:line="276"/>
      </w:pPr>
      <w:r>
        <w:rPr>
          <w:rFonts w:ascii="Calibri" w:cs="Calibri" w:eastAsia="Calibri" w:hAnsi="Calibri"/>
          <w:sz w:val="21"/>
          <w:szCs w:val="21"/>
        </w:rPr>
        <w:t xml:space="preserve">Underwrite the investment primarily on the projected tax-credit stream and its schedule, not on projected rental cash flow or appreciation, since the credit — not operating income — is usually the dominant component of return.</w:t>
      </w:r>
    </w:p>
    <w:p>
      <w:pPr>
        <w:pStyle w:val="ListParagraph"/>
        <w:numPr>
          <w:ilvl w:val="0"/>
          <w:numId w:val="2"/>
        </w:numPr>
        <w:spacing w:after="60" w:line="276"/>
      </w:pPr>
      <w:r>
        <w:rPr>
          <w:rFonts w:ascii="Calibri" w:cs="Calibri" w:eastAsia="Calibri" w:hAnsi="Calibri"/>
          <w:sz w:val="21"/>
          <w:szCs w:val="21"/>
        </w:rPr>
        <w:t xml:space="preserve">Evaluate the sponsor's track record on compliance and credit delivery across its prior funds specifically, since recapture risk during the multi-year compliance period depends entirely on the properties continuing to meet their low-income occupancy and rent-restriction commitments.</w:t>
      </w:r>
    </w:p>
    <w:p>
      <w:pPr>
        <w:pStyle w:val="ListParagraph"/>
        <w:numPr>
          <w:ilvl w:val="0"/>
          <w:numId w:val="2"/>
        </w:numPr>
        <w:spacing w:after="60" w:line="276"/>
      </w:pPr>
      <w:r>
        <w:rPr>
          <w:rFonts w:ascii="Calibri" w:cs="Calibri" w:eastAsia="Calibri" w:hAnsi="Calibri"/>
          <w:sz w:val="21"/>
          <w:szCs w:val="21"/>
        </w:rPr>
        <w:t xml:space="preserve">Understand that this is a long-hold, illiquid investment by design — the compliance period runs for many years, and the investment structure is generally not built for an investor who may need to exit early.</w:t>
      </w:r>
    </w:p>
    <w:p>
      <w:pPr>
        <w:pStyle w:val="ListParagraph"/>
        <w:numPr>
          <w:ilvl w:val="0"/>
          <w:numId w:val="2"/>
        </w:numPr>
        <w:spacing w:after="60" w:line="276"/>
      </w:pPr>
      <w:r>
        <w:rPr>
          <w:rFonts w:ascii="Calibri" w:cs="Calibri" w:eastAsia="Calibri" w:hAnsi="Calibri"/>
          <w:sz w:val="21"/>
          <w:szCs w:val="21"/>
        </w:rPr>
        <w:t xml:space="preserve">Confirm how the credit is allocated to the investor (proportional ownership share, timing of allocation, and any special allocations) before committing, since the mechanics of how and when the credit actually reaches the investor's own return can vary meaningfully between sponsors and fund structures.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investor with a one-time $1,000,000 tax liability from a business sale commits $400,000 to a syndicated low-income-housing fund, receiving an allocated credit stream of roughly $40,000 per year for ten years — a total of $400,000 in credits, offsetting the investment dollar-for-dollar against future tax bills over a decade, on top of a modest projected $30,000 of cash distributions and disposition proceeds over the same period (income is intentionally minimal, since rents are restricted by design). The investment's return is therefore driven almost entirely by the credit schedule, not by rental cash flow — very different underwriting from a conventional rental property. Three years into the fifteen-year compliance period, one of the underlying properties falls out of compliance with its low-income occupancy requirements; because the investor vetted the sponsor's multi-decade track record of maintaining compliance across dozens of prior properties before committing capital, the sponsor cures the deficiency before any credit is actually recaptured — a risk that was entirely outside the investor's control and could only be managed through diligence performed up front, not through anything the investor could do once invested.</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69. Energy-Efficient Building Deductions and Credits for New Construction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Real Estate  ·  Cross-Entity / General Business</w:t>
      </w:r>
    </w:p>
    <w:p>
      <w:pPr>
        <w:spacing w:after="140" w:line="276"/>
      </w:pPr>
      <w:r>
        <w:rPr>
          <w:rFonts w:ascii="Calibri" w:cs="Calibri" w:eastAsia="Calibri" w:hAnsi="Calibri"/>
          <w:sz w:val="21"/>
          <w:szCs w:val="21"/>
        </w:rPr>
        <w:t xml:space="preserve">A developer or owner constructing or substantially renovating a commercial building, or building qualifying energy-efficient residential units, may be entitled to a federal deduction or credit tied specifically to the property's energy performance — benefits that are frequently missed simply because they require an engineering certification most general contractors and accountants are not routinely thinking to obtain, rather than because the underlying construction failed to qualify.</w:t>
      </w:r>
    </w:p>
    <w:p>
      <w:pPr>
        <w:pStyle w:val="Heading2"/>
        <w:spacing w:after="80" w:before="200"/>
      </w:pPr>
      <w:r>
        <w:rPr>
          <w:rFonts w:ascii="Calibri" w:cs="Calibri" w:eastAsia="Calibri" w:hAnsi="Calibri"/>
          <w:b/>
          <w:bCs/>
          <w:color w:val="2E5496"/>
          <w:sz w:val="24"/>
          <w:szCs w:val="24"/>
        </w:rPr>
        <w:t xml:space="preserve">Two Separate Incentives, Both Requiring Technical Certification</w:t>
      </w:r>
    </w:p>
    <w:p>
      <w:pPr>
        <w:spacing w:after="140" w:line="276"/>
      </w:pPr>
      <w:r>
        <w:rPr>
          <w:rFonts w:ascii="Calibri" w:cs="Calibri" w:eastAsia="Calibri" w:hAnsi="Calibri"/>
          <w:sz w:val="21"/>
          <w:szCs w:val="21"/>
        </w:rPr>
        <w:t xml:space="preserve">One provision offers a per-square-foot deduction for the cost of installing energy-efficient systems — lighting, HVAC, and building envelope improvements, among others — in a new or substantially renovated commercial building that meets defined energy-efficiency thresholds relative to a reference standard. A separate, distinct provision offers a per-unit credit for the construction of new energy-efficient residential dwelling units — including qualifying multifamily projects — that meet applicable energy-efficiency standards, with unit-level requirements that can vary depending on the type of project and whether certain wage requirements are met.</w:t>
      </w:r>
    </w:p>
    <w:p>
      <w:pPr>
        <w:spacing w:after="140" w:line="276"/>
      </w:pPr>
      <w:r>
        <w:rPr>
          <w:rFonts w:ascii="Calibri" w:cs="Calibri" w:eastAsia="Calibri" w:hAnsi="Calibri"/>
          <w:sz w:val="21"/>
          <w:szCs w:val="21"/>
        </w:rPr>
        <w:t xml:space="preserve">Both of these incentives depend on a technical, third-party energy-efficiency certification specific to the property, performed by a qualified engineer or contractor using recognized modeling software and methodology — this is not a benefit that self-certifies based on a contractor's general assurance that a building is efficient, or based on the building simply meeting current energy code (which has itself become more stringent over time, raising the bar for what counts as exceeding it). Without that formal certification process completed and documented, the deduction or credit generally cannot be substantiated even if the building genuinely performs at a qualifying level.</w:t>
      </w:r>
    </w:p>
    <w:p>
      <w:pPr>
        <w:spacing w:after="140" w:line="276"/>
      </w:pPr>
      <w:r>
        <w:rPr>
          <w:rFonts w:ascii="Calibri" w:cs="Calibri" w:eastAsia="Calibri" w:hAnsi="Calibri"/>
          <w:sz w:val="21"/>
          <w:szCs w:val="21"/>
        </w:rPr>
        <w:t xml:space="preserve">Because these benefits are tied to buildings that are being newly constructed or substantially renovated in the first place, the single highest-leverage moment to capture them is during the design and construction planning phase — before ground is broken — since energy-performance decisions baked into blueprints and mechanical specifications early on are what actually determine eligibility, not something that can be substituted after construction by simply commissioning a certification study on a building not actually designed with the applicable thresholds in mind.</w:t>
      </w:r>
    </w:p>
    <w:p>
      <w:pPr>
        <w:pStyle w:val="ListParagraph"/>
        <w:numPr>
          <w:ilvl w:val="0"/>
          <w:numId w:val="2"/>
        </w:numPr>
        <w:spacing w:after="60" w:line="276"/>
      </w:pPr>
      <w:r>
        <w:rPr>
          <w:rFonts w:ascii="Calibri" w:cs="Calibri" w:eastAsia="Calibri" w:hAnsi="Calibri"/>
          <w:sz w:val="21"/>
          <w:szCs w:val="21"/>
        </w:rPr>
        <w:t xml:space="preserve">Engage a qualified engineer or contractor experienced in the specific modeling and certification process for whichever incentive applies as early as possible in the design phase — ideally before construction plans are finalized, not after the building is complete.</w:t>
      </w:r>
    </w:p>
    <w:p>
      <w:pPr>
        <w:pStyle w:val="ListParagraph"/>
        <w:numPr>
          <w:ilvl w:val="0"/>
          <w:numId w:val="2"/>
        </w:numPr>
        <w:spacing w:after="60" w:line="276"/>
      </w:pPr>
      <w:r>
        <w:rPr>
          <w:rFonts w:ascii="Calibri" w:cs="Calibri" w:eastAsia="Calibri" w:hAnsi="Calibri"/>
          <w:sz w:val="21"/>
          <w:szCs w:val="21"/>
        </w:rPr>
        <w:t xml:space="preserve">Confirm which of the two incentives (or both, for a mixed-use project) actually applies based on the property type — commercial energy-efficiency improvements versus new energy-efficient residential units are governed by different provisions with different mechanics and different unit-level or square-footage calculations.</w:t>
      </w:r>
    </w:p>
    <w:p>
      <w:pPr>
        <w:pStyle w:val="ListParagraph"/>
        <w:numPr>
          <w:ilvl w:val="0"/>
          <w:numId w:val="2"/>
        </w:numPr>
        <w:spacing w:after="60" w:line="276"/>
      </w:pPr>
      <w:r>
        <w:rPr>
          <w:rFonts w:ascii="Calibri" w:cs="Calibri" w:eastAsia="Calibri" w:hAnsi="Calibri"/>
          <w:sz w:val="21"/>
          <w:szCs w:val="21"/>
        </w:rPr>
        <w:t xml:space="preserve">Check whether prevailing-wage or apprenticeship requirements apply to unlock the full benefit amount for the specific project, since some versions of these incentives offer a materially reduced amount absent compliance with those labor requirements.</w:t>
      </w:r>
    </w:p>
    <w:p>
      <w:pPr>
        <w:pStyle w:val="ListParagraph"/>
        <w:numPr>
          <w:ilvl w:val="0"/>
          <w:numId w:val="2"/>
        </w:numPr>
        <w:spacing w:after="60" w:line="276"/>
      </w:pPr>
      <w:r>
        <w:rPr>
          <w:rFonts w:ascii="Calibri" w:cs="Calibri" w:eastAsia="Calibri" w:hAnsi="Calibri"/>
          <w:sz w:val="21"/>
          <w:szCs w:val="21"/>
        </w:rPr>
        <w:t xml:space="preserve">Retain the technical certification study and supporting energy-modeling documentation permanently as part of the building's tax records — this is exactly the kind of substantiation an examiner will ask for first if the deduction or credit is ever questioned.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developer is planning a new multifamily residential project and, separately, a commercial office building renovation for another client. On the residential project, the developer engages an energy consultant early in the design phase to model the building against the applicable energy-efficiency standard for new residential construction, adjusting insulation and mechanical specifications where needed to clear the threshold, which qualifies the completed units for a per-unit federal credit. On the commercial renovation, a similar early-stage energy consultant is engaged to model the planned lighting and HVAC upgrades against the applicable commercial-building standard, resulting in a certified per-square-foot deduction once the renovation is complete and the technical certification is finalized. In both cases, the certification and eligibility were designed into the project from the start rather than pursued as an afterthought once construction was already finished.</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These are exactly the kind of deductions and credits that go unclaimed simply from lack of awareness — a genuinely qualifying, energy-efficient building can leave the entire benefit on the table if nobody thinks to commission the required technical certification before or during construction.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70. The Federal Excise Tax Credit for Off-Highway Business Fuel Use</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w:t>
      </w:r>
    </w:p>
    <w:p>
      <w:pPr>
        <w:spacing w:after="140" w:line="276"/>
      </w:pPr>
      <w:r>
        <w:rPr>
          <w:rFonts w:ascii="Calibri" w:cs="Calibri" w:eastAsia="Calibri" w:hAnsi="Calibri"/>
          <w:sz w:val="21"/>
          <w:szCs w:val="21"/>
        </w:rPr>
        <w:t xml:space="preserve">Federal excise taxes on gasoline and diesel are built into the price at the pump specifically to fund highway infrastructure — which means a business that uses taxed fuel for purposes that never touch a public highway, such as boats, off-road equipment, farm machinery, or fuel used in certain stationary engines, is generally entitled to a refundable federal credit for that embedded tax. This is a genuinely recurring credit rather than a one-time item, yet it is very commonly never claimed simply because the business does not realize the fuel it is already buying carries a refundable tax component at all.</w:t>
      </w:r>
    </w:p>
    <w:p>
      <w:pPr>
        <w:pStyle w:val="Heading2"/>
        <w:spacing w:after="80" w:before="200"/>
      </w:pPr>
      <w:r>
        <w:rPr>
          <w:rFonts w:ascii="Calibri" w:cs="Calibri" w:eastAsia="Calibri" w:hAnsi="Calibri"/>
          <w:b/>
          <w:bCs/>
          <w:color w:val="2E5496"/>
          <w:sz w:val="24"/>
          <w:szCs w:val="24"/>
        </w:rPr>
        <w:t xml:space="preserve">A Credit Hiding Inside an Expense Already Being Paid</w:t>
      </w:r>
    </w:p>
    <w:p>
      <w:pPr>
        <w:spacing w:after="140" w:line="276"/>
      </w:pPr>
      <w:r>
        <w:rPr>
          <w:rFonts w:ascii="Calibri" w:cs="Calibri" w:eastAsia="Calibri" w:hAnsi="Calibri"/>
          <w:sz w:val="21"/>
          <w:szCs w:val="21"/>
        </w:rPr>
        <w:t xml:space="preserve">The federal fuel excise tax is designed around a simple premise: it funds the highway trust fund, so it should only be borne by fuel actually used on the highway. Fuel used for off-highway business purposes — a category that includes marine and boat use, off-road construction and farm equipment, certain stationary engines, and other qualifying non-highway business uses — was never supposed to bear that tax in the first place, so the law provides a mechanism to recover it after the fact, generally as a credit against income tax liability or, in some cases, a direct refund.</w:t>
      </w:r>
    </w:p>
    <w:p>
      <w:pPr>
        <w:spacing w:after="140" w:line="276"/>
      </w:pPr>
      <w:r>
        <w:rPr>
          <w:rFonts w:ascii="Calibri" w:cs="Calibri" w:eastAsia="Calibri" w:hAnsi="Calibri"/>
          <w:sz w:val="21"/>
          <w:szCs w:val="21"/>
        </w:rPr>
        <w:t xml:space="preserve">The reason this credit is so commonly missed is structural rather than substantive: the tax is embedded in the price paid at the pump or from a fuel distributor, with no separate line item calling attention to it, so a business using fuel entirely for qualifying off-highway purposes can go years without realizing that every gallon purchased carries a recoverable federal tax component. Unlike a credit that requires an unusual transaction to trigger it, this one is simply sitting inside an expense the business is already incurring routinely — it just has to be identified, tracked, and claimed.</w:t>
      </w:r>
    </w:p>
    <w:p>
      <w:pPr>
        <w:spacing w:after="140" w:line="276"/>
      </w:pPr>
      <w:r>
        <w:rPr>
          <w:rFonts w:ascii="Calibri" w:cs="Calibri" w:eastAsia="Calibri" w:hAnsi="Calibri"/>
          <w:sz w:val="21"/>
          <w:szCs w:val="21"/>
        </w:rPr>
        <w:t xml:space="preserve">Claiming the credit requires documenting the gallons of qualifying fuel used for off-highway business purposes during the period, since the credit is calculated per gallon at the applicable excise-tax rate for the fuel type involved — meaning a business needs some reasonably reliable fuel-usage tracking (fuel logs, equipment hour meters, or purchase records tied to specific equipment) to support the claim, rather than an estimate produced only after the fact with no underlying records.</w:t>
      </w:r>
    </w:p>
    <w:p>
      <w:pPr>
        <w:pStyle w:val="ListParagraph"/>
        <w:numPr>
          <w:ilvl w:val="0"/>
          <w:numId w:val="2"/>
        </w:numPr>
        <w:spacing w:after="60" w:line="276"/>
      </w:pPr>
      <w:r>
        <w:rPr>
          <w:rFonts w:ascii="Calibri" w:cs="Calibri" w:eastAsia="Calibri" w:hAnsi="Calibri"/>
          <w:sz w:val="21"/>
          <w:szCs w:val="21"/>
        </w:rPr>
        <w:t xml:space="preserve">Identify every category of fuel use in the business that never touches a public highway — boats and marine equipment, off-road construction or farm machinery, certain stationary engines, and similar qualifying uses — since each gallon used this way generally carries a recoverable excise-tax component.</w:t>
      </w:r>
    </w:p>
    <w:p>
      <w:pPr>
        <w:pStyle w:val="ListParagraph"/>
        <w:numPr>
          <w:ilvl w:val="0"/>
          <w:numId w:val="2"/>
        </w:numPr>
        <w:spacing w:after="60" w:line="276"/>
      </w:pPr>
      <w:r>
        <w:rPr>
          <w:rFonts w:ascii="Calibri" w:cs="Calibri" w:eastAsia="Calibri" w:hAnsi="Calibri"/>
          <w:sz w:val="21"/>
          <w:szCs w:val="21"/>
        </w:rPr>
        <w:t xml:space="preserve">Set up contemporaneous fuel-usage tracking by equipment or use category, rather than relying on a single undifferentiated fuel expense line, since the credit calculation depends on gallons used specifically for qualifying off-highway purposes.</w:t>
      </w:r>
    </w:p>
    <w:p>
      <w:pPr>
        <w:pStyle w:val="ListParagraph"/>
        <w:numPr>
          <w:ilvl w:val="0"/>
          <w:numId w:val="2"/>
        </w:numPr>
        <w:spacing w:after="60" w:line="276"/>
      </w:pPr>
      <w:r>
        <w:rPr>
          <w:rFonts w:ascii="Calibri" w:cs="Calibri" w:eastAsia="Calibri" w:hAnsi="Calibri"/>
          <w:sz w:val="21"/>
          <w:szCs w:val="21"/>
        </w:rPr>
        <w:t xml:space="preserve">Claim the credit on the appropriate federal excise-tax credit form for the tax year, coordinating with whoever prepares the business's income tax return to make sure this recurring credit is not simply overlooked year after year.</w:t>
      </w:r>
    </w:p>
    <w:p>
      <w:pPr>
        <w:pStyle w:val="ListParagraph"/>
        <w:numPr>
          <w:ilvl w:val="0"/>
          <w:numId w:val="2"/>
        </w:numPr>
        <w:spacing w:after="60" w:line="276"/>
      </w:pPr>
      <w:r>
        <w:rPr>
          <w:rFonts w:ascii="Calibri" w:cs="Calibri" w:eastAsia="Calibri" w:hAnsi="Calibri"/>
          <w:sz w:val="21"/>
          <w:szCs w:val="21"/>
        </w:rPr>
        <w:t xml:space="preserve">Check whether a parallel state-level fuel-tax refund or credit is also available for the same off-highway fuel use, since some states offer their own comparable mechanism on top of the federal credit.</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operates equipment that runs entirely off-highway — boats, marine engines, and related equipment used exclusively for on-water operations that never travel on a public road. The business has been purchasing fuel for this equipment for years without realizing that the federal excise tax embedded in the price is recoverable, since none of that fuel use was ever subject to highway-related tax in the first place. Once the business starts tracking gallons used specifically for this off-highway equipment and claims the corresponding federal excise-tax credit on the appropriate form each year, it recovers a recurring amount that had previously simply been treated as an ordinary, non-recoverable fuel expense.</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Because this credit depends on being able to show which fuel went to which qualifying use, a business that wants to claim it going forward should start tracking usage now rather than trying to reconstruct historical gallons later — contemporaneous records are far more defensible than an after-the-fact estimate if the claim is ever questioned.</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71. Safe Harbor 401(k) with Cross-Tested Profit Sharing to Maximize Owner Contributions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Retirement Planning  ·  Cross-Entity / General Business</w:t>
      </w:r>
    </w:p>
    <w:p>
      <w:pPr>
        <w:spacing w:after="140" w:line="276"/>
      </w:pPr>
      <w:r>
        <w:rPr>
          <w:rFonts w:ascii="Calibri" w:cs="Calibri" w:eastAsia="Calibri" w:hAnsi="Calibri"/>
          <w:sz w:val="21"/>
          <w:szCs w:val="21"/>
        </w:rPr>
        <w:t xml:space="preserve">A conventional 401(k) plan that lets owners defer the maximum amount can fail annual nondiscrimination testing if rank-and-file employees do not participate at a comparable rate — forcing refunds to the very owners the plan was meant to benefit. A safe harbor 401(k) design, paired with a cross-tested (sometimes called "new comparability") profit-sharing formula, can eliminate that testing failure entirely while still concentrating the largest employer contributions on the owners, often at a fraction of the cost of covering every employee at the same percentage of pay.</w:t>
      </w:r>
    </w:p>
    <w:p>
      <w:pPr>
        <w:pStyle w:val="Heading2"/>
        <w:spacing w:after="80" w:before="200"/>
      </w:pPr>
      <w:r>
        <w:rPr>
          <w:rFonts w:ascii="Calibri" w:cs="Calibri" w:eastAsia="Calibri" w:hAnsi="Calibri"/>
          <w:b/>
          <w:bCs/>
          <w:color w:val="2E5496"/>
          <w:sz w:val="24"/>
          <w:szCs w:val="24"/>
        </w:rPr>
        <w:t xml:space="preserve">How Safe Harbor Status and Cross-Testing Work Together</w:t>
      </w:r>
    </w:p>
    <w:p>
      <w:pPr>
        <w:spacing w:after="140" w:line="276"/>
      </w:pPr>
      <w:r>
        <w:rPr>
          <w:rFonts w:ascii="Calibri" w:cs="Calibri" w:eastAsia="Calibri" w:hAnsi="Calibri"/>
          <w:sz w:val="21"/>
          <w:szCs w:val="21"/>
        </w:rPr>
        <w:t xml:space="preserve">A standard 401(k) plan is subject to annual actual-deferral-percentage and actual-contribution-percentage nondiscrimination tests, comparing how much highly compensated employees (typically owners and top earners) defer or receive in matching contributions against how much everyone else defers. If rank-and-file participation is thin, these tests can fail, forcing corrective distributions back to the highly compensated group — refunding money they had already planned to shelter. A safe harbor design sidesteps this testing entirely by committing the employer to a specified minimum contribution for all eligible employees (commonly either a matching formula or a flat non-elective contribution, sometimes structured as a "3% QNEC" — a qualified non-elective contribution made to all eligible employees regardless of whether they defer anything themselves), in exchange for which the plan is deemed to automatically satisfy the nondiscrimination tests for elective deferrals.</w:t>
      </w:r>
    </w:p>
    <w:p>
      <w:pPr>
        <w:spacing w:after="140" w:line="276"/>
      </w:pPr>
      <w:r>
        <w:rPr>
          <w:rFonts w:ascii="Calibri" w:cs="Calibri" w:eastAsia="Calibri" w:hAnsi="Calibri"/>
          <w:sz w:val="21"/>
          <w:szCs w:val="21"/>
        </w:rPr>
        <w:t xml:space="preserve">Profit-sharing contributions layered on top of the safe harbor base can then be allocated using "cross-testing" — a method that measures contributions not as a flat percentage of current pay, but by projecting each participant's account to an assumed retirement age and comparing the resulting projected benefit as a percentage of pay. Because older, more highly paid owners have fewer years left until retirement, a cross-tested formula can lawfully direct a disproportionately large share of the profit-sharing contribution to them relative to younger, lower-paid staff, while still passing nondiscrimination testing on the theory that everyone is accumulating a comparable projected retirement benefit.</w:t>
      </w:r>
    </w:p>
    <w:p>
      <w:pPr>
        <w:spacing w:after="140" w:line="276"/>
      </w:pPr>
      <w:r>
        <w:rPr>
          <w:rFonts w:ascii="Calibri" w:cs="Calibri" w:eastAsia="Calibri" w:hAnsi="Calibri"/>
          <w:sz w:val="21"/>
          <w:szCs w:val="21"/>
        </w:rPr>
        <w:t xml:space="preserve">The combination is what makes this design powerful for an owner-heavy business: the safe harbor base is a relatively modest, predictable cost for covering employees, while the cross-tested profit-sharing layer concentrates the bulk of the incremental dollars on the owners. Businesses evaluating this design commonly find that increasing owner W-2 wages, even though it raises payroll tax, can materially increase the maximum dollar amount the owner is allowed to contribute — since profit-sharing contribution limits are generally capped as a percentage of the recipient's own compensation, a low owner salary can itself become the binding constraint on how much can be swept into the owners' accounts.</w:t>
      </w:r>
    </w:p>
    <w:p>
      <w:pPr>
        <w:pStyle w:val="ListParagraph"/>
        <w:numPr>
          <w:ilvl w:val="0"/>
          <w:numId w:val="2"/>
        </w:numPr>
        <w:spacing w:after="60" w:line="276"/>
      </w:pPr>
      <w:r>
        <w:rPr>
          <w:rFonts w:ascii="Calibri" w:cs="Calibri" w:eastAsia="Calibri" w:hAnsi="Calibri"/>
          <w:sz w:val="21"/>
          <w:szCs w:val="21"/>
        </w:rPr>
        <w:t xml:space="preserve">Engage a third-party plan administrator experienced in cross-tested plan design early — the allocation formula must be carefully modeled against the actual employee census (ages, pay, and tenure) to confirm it both passes nondiscrimination testing and hits the owners' target contribution level.</w:t>
      </w:r>
    </w:p>
    <w:p>
      <w:pPr>
        <w:pStyle w:val="ListParagraph"/>
        <w:numPr>
          <w:ilvl w:val="0"/>
          <w:numId w:val="2"/>
        </w:numPr>
        <w:spacing w:after="60" w:line="276"/>
      </w:pPr>
      <w:r>
        <w:rPr>
          <w:rFonts w:ascii="Calibri" w:cs="Calibri" w:eastAsia="Calibri" w:hAnsi="Calibri"/>
          <w:sz w:val="21"/>
          <w:szCs w:val="21"/>
        </w:rPr>
        <w:t xml:space="preserve">Compare design options (for example, a lower owner salary with a smaller safe harbor cost versus a higher owner salary that unlocks a larger profit-sharing contribution ceiling) on an after-tax, all-in basis — including the incremental payroll tax on any owner wage increase — rather than evaluating retirement savings and wages as separate decisions.</w:t>
      </w:r>
    </w:p>
    <w:p>
      <w:pPr>
        <w:pStyle w:val="ListParagraph"/>
        <w:numPr>
          <w:ilvl w:val="0"/>
          <w:numId w:val="2"/>
        </w:numPr>
        <w:spacing w:after="60" w:line="276"/>
      </w:pPr>
      <w:r>
        <w:rPr>
          <w:rFonts w:ascii="Calibri" w:cs="Calibri" w:eastAsia="Calibri" w:hAnsi="Calibri"/>
          <w:sz w:val="21"/>
          <w:szCs w:val="21"/>
        </w:rPr>
        <w:t xml:space="preserve">Remember the plan-adoption deadline for a new safe harbor 401(k) to be effective for the current year is generally fixed and falls before year-end — this is not a plan that can be adopted retroactively after the year has already closed the way certain other retirement plans can.</w:t>
      </w:r>
    </w:p>
    <w:p>
      <w:pPr>
        <w:pStyle w:val="ListParagraph"/>
        <w:numPr>
          <w:ilvl w:val="0"/>
          <w:numId w:val="2"/>
        </w:numPr>
        <w:spacing w:after="60" w:line="276"/>
      </w:pPr>
      <w:r>
        <w:rPr>
          <w:rFonts w:ascii="Calibri" w:cs="Calibri" w:eastAsia="Calibri" w:hAnsi="Calibri"/>
          <w:sz w:val="21"/>
          <w:szCs w:val="21"/>
        </w:rPr>
        <w:t xml:space="preserve">Revisit the design whenever the employee census changes meaningfully (new hires, terminations, or significant pay changes), since cross-testing results depend directly on the makeup of the workforce at the time of the calculation.</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Two co-owners, ages 55 and 58, each earning $250,000 in W-2 wages, run a service business with eight staff averaging age 32 and $55,000 in pay. The business adopts a safe harbor 401(k) with a 3% non-elective contribution for all ten employees (3% × roughly $2,000,000 total payroll for the eight staff and two owners combined, or about $60,000 in safe-harbor cost). A cross-tested profit-sharing formula layered on top, based on projected benefits at retirement, allocates about $73,000 to each of the two older, higher-paid owners ($146,000 combined) while allocating only about 5-7% of pay to the younger staff (roughly $20,000 total across all eight) — a combined design that, after plan-administrator modeling against the actual census, directs roughly $146,000 of the total $226,000 employer contribution to the two owners for a $60,000 cost of covering everyone else, versus what a flat pro-rata formula covering all ten employees at the same percentage of pay would have cost the owners in reduced allocation to themselves. As part of the same modeling, the plan administrator flags that each owner's $250,000 salary is comfortably high enough to support the maximum $73,000 profit-sharing allocation, since contribution limits are capped as a percentage of the recipient's own compensation — a lower owner salary would have itself become the binding constraint.</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72. Small-Employer Retirement Plan Startup and Auto-Enrollment Tax Credits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Retirement Planning  ·  Cross-Entity / General Business</w:t>
      </w:r>
    </w:p>
    <w:p>
      <w:pPr>
        <w:spacing w:after="140" w:line="276"/>
      </w:pPr>
      <w:r>
        <w:rPr>
          <w:rFonts w:ascii="Calibri" w:cs="Calibri" w:eastAsia="Calibri" w:hAnsi="Calibri"/>
          <w:sz w:val="21"/>
          <w:szCs w:val="21"/>
        </w:rPr>
        <w:t xml:space="preserve">A small business that establishes a new retirement plan — a 401(k), SIMPLE, SEP, or similar arrangement — can claim a federal tax credit covering a substantial portion of the plan's administrative startup costs for its first several years, plus a separate, additional credit simply for including an automatic-enrollment feature. These credits are commonly overlooked entirely, treated as if adopting a retirement plan were a pure cost rather than a partially subsidized one.</w:t>
      </w:r>
    </w:p>
    <w:p>
      <w:pPr>
        <w:pStyle w:val="Heading2"/>
        <w:spacing w:after="80" w:before="200"/>
      </w:pPr>
      <w:r>
        <w:rPr>
          <w:rFonts w:ascii="Calibri" w:cs="Calibri" w:eastAsia="Calibri" w:hAnsi="Calibri"/>
          <w:b/>
          <w:bCs/>
          <w:color w:val="2E5496"/>
          <w:sz w:val="24"/>
          <w:szCs w:val="24"/>
        </w:rPr>
        <w:t xml:space="preserve">Two Stackable Credits for a New Plan</w:t>
      </w:r>
    </w:p>
    <w:p>
      <w:pPr>
        <w:spacing w:after="140" w:line="276"/>
      </w:pPr>
      <w:r>
        <w:rPr>
          <w:rFonts w:ascii="Calibri" w:cs="Calibri" w:eastAsia="Calibri" w:hAnsi="Calibri"/>
          <w:sz w:val="21"/>
          <w:szCs w:val="21"/>
        </w:rPr>
        <w:t xml:space="preserve">The startup-cost credit covers a defined percentage of the ordinary and necessary costs of establishing and administering a new qualified retirement plan — expenses like plan design, administration, and employee education — for each of the first several years the plan is in effect, up to an annual dollar cap that scales with the number of non-highly-compensated employees covered. Because the credit is calculated as a percentage of actual startup costs (subject to the cap), a very small employer with modest administrative fees may find the credit covers all or nearly all of what it is paying a third-party administrator in the plan's early years.</w:t>
      </w:r>
    </w:p>
    <w:p>
      <w:pPr>
        <w:spacing w:after="140" w:line="276"/>
      </w:pPr>
      <w:r>
        <w:rPr>
          <w:rFonts w:ascii="Calibri" w:cs="Calibri" w:eastAsia="Calibri" w:hAnsi="Calibri"/>
          <w:sz w:val="21"/>
          <w:szCs w:val="21"/>
        </w:rPr>
        <w:t xml:space="preserve">On top of the startup-cost credit, a separate, flat-dollar credit is available for each of the first several years a new plan includes an automatic-enrollment feature — a fixed provision, without a percentage-of-cost calculation, that rewards the plan design choice itself rather than the amount spent implementing it. A business adopting a brand-new plan should confirm during the design phase whether including auto-enrollment is worth the modest administrative adjustment, given this credit is available regardless of how many employees the feature actually captures.</w:t>
      </w:r>
    </w:p>
    <w:p>
      <w:pPr>
        <w:spacing w:after="140" w:line="276"/>
      </w:pPr>
      <w:r>
        <w:rPr>
          <w:rFonts w:ascii="Calibri" w:cs="Calibri" w:eastAsia="Calibri" w:hAnsi="Calibri"/>
          <w:sz w:val="21"/>
          <w:szCs w:val="21"/>
        </w:rPr>
        <w:t xml:space="preserve">Both credits are further layered with an ongoing employer-contribution credit available to smaller employers for a period of years, calculated based on actual employer contributions made on behalf of employees earning below a defined compensation threshold — meaningfully offsetting the employer's own matching or non-elective contribution cost during the plan's early years, separate from and in addition to the startup and auto-enrollment credits.</w:t>
      </w:r>
    </w:p>
    <w:p>
      <w:pPr>
        <w:pStyle w:val="ListParagraph"/>
        <w:numPr>
          <w:ilvl w:val="0"/>
          <w:numId w:val="2"/>
        </w:numPr>
        <w:spacing w:after="60" w:line="276"/>
      </w:pPr>
      <w:r>
        <w:rPr>
          <w:rFonts w:ascii="Calibri" w:cs="Calibri" w:eastAsia="Calibri" w:hAnsi="Calibri"/>
          <w:sz w:val="21"/>
          <w:szCs w:val="21"/>
        </w:rPr>
        <w:t xml:space="preserve">Confirm the business meets the small-employer size threshold for these credits (measured by number of employees) before assuming eligibility — the credit percentages and caps can also differ based on employer size.</w:t>
      </w:r>
    </w:p>
    <w:p>
      <w:pPr>
        <w:pStyle w:val="ListParagraph"/>
        <w:numPr>
          <w:ilvl w:val="0"/>
          <w:numId w:val="2"/>
        </w:numPr>
        <w:spacing w:after="60" w:line="276"/>
      </w:pPr>
      <w:r>
        <w:rPr>
          <w:rFonts w:ascii="Calibri" w:cs="Calibri" w:eastAsia="Calibri" w:hAnsi="Calibri"/>
          <w:sz w:val="21"/>
          <w:szCs w:val="21"/>
        </w:rPr>
        <w:t xml:space="preserve">Track actual plan startup and administrative costs by year, since the startup credit is calculated as a percentage of real costs incurred, subject to the annual cap — a business should not assume the maximum credit applies without confirming its actual spend.</w:t>
      </w:r>
    </w:p>
    <w:p>
      <w:pPr>
        <w:pStyle w:val="ListParagraph"/>
        <w:numPr>
          <w:ilvl w:val="0"/>
          <w:numId w:val="2"/>
        </w:numPr>
        <w:spacing w:after="60" w:line="276"/>
      </w:pPr>
      <w:r>
        <w:rPr>
          <w:rFonts w:ascii="Calibri" w:cs="Calibri" w:eastAsia="Calibri" w:hAnsi="Calibri"/>
          <w:sz w:val="21"/>
          <w:szCs w:val="21"/>
        </w:rPr>
        <w:t xml:space="preserve">Evaluate including an automatic-enrollment feature specifically for the separate flat credit it unlocks, weighing that against the modest administrative complexity of adding the feature.</w:t>
      </w:r>
    </w:p>
    <w:p>
      <w:pPr>
        <w:pStyle w:val="ListParagraph"/>
        <w:numPr>
          <w:ilvl w:val="0"/>
          <w:numId w:val="2"/>
        </w:numPr>
        <w:spacing w:after="60" w:line="276"/>
      </w:pPr>
      <w:r>
        <w:rPr>
          <w:rFonts w:ascii="Calibri" w:cs="Calibri" w:eastAsia="Calibri" w:hAnsi="Calibri"/>
          <w:sz w:val="21"/>
          <w:szCs w:val="21"/>
        </w:rPr>
        <w:t xml:space="preserve">Have whoever prepares the business's tax return claim these credits explicitly on the appropriate form — because they apply only in the plan's first several years, a business that fails to claim them in year one cannot simply catch up in a later year.</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with 12 employees (10 of them non-highly-compensated) adopts a new 401(k) plan for the first time, paying its third-party administrator $6,500 in setup and first-year administration fees. The small-employer startup-cost credit covers a defined percentage of those costs (up to a cap that scales with the number of non-highly-compensated employees, commonly enough to cover 100% of costs for the smallest eligible employers) — in this case reimbursing the full $6,500 through the credit rather than the more limited amount a business might assume without checking the actual cap. Because the plan is also designed from day one with automatic enrollment (employees are enrolled by default unless they opt out), the business separately claims a flat $500-per-year auto-enrollment credit for each of the first three years, worth $1,500 total, regardless of how many employees the feature actually captures. In year two, the business also begins claiming a separate credit against a portion of its own matching contributions made on behalf of employees earning below the applicable compensation threshold — three distinct, stackable credits that together offset a meaningful share of what the owner had budgeted as a pure cost of starting the plan.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73. Curing a Late or Defective S-Corporation Election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w:t>
      </w:r>
    </w:p>
    <w:p>
      <w:pPr>
        <w:spacing w:after="140" w:line="276"/>
      </w:pPr>
      <w:r>
        <w:rPr>
          <w:rFonts w:ascii="Calibri" w:cs="Calibri" w:eastAsia="Calibri" w:hAnsi="Calibri"/>
          <w:sz w:val="21"/>
          <w:szCs w:val="21"/>
        </w:rPr>
        <w:t xml:space="preserve">A business that intended to operate as an S-corporation from a specific date, but either never filed the election form or filed one that was defective (commonly missing a required shareholder consent signature), is not automatically stuck operating as whatever entity it defaulted to. A well-established simplified relief procedure allows an eligible business to file a late S-election and have it treated as effective from the originally intended date, provided the business can show it otherwise qualified, has been consistently treating itself as an S-corporation, and had a reasonable cause for the delay — all without the expense and uncertainty of requesting a private letter ruling.</w:t>
      </w:r>
    </w:p>
    <w:p>
      <w:pPr>
        <w:pStyle w:val="Heading2"/>
        <w:spacing w:after="80" w:before="200"/>
      </w:pPr>
      <w:r>
        <w:rPr>
          <w:rFonts w:ascii="Calibri" w:cs="Calibri" w:eastAsia="Calibri" w:hAnsi="Calibri"/>
          <w:b/>
          <w:bCs/>
          <w:color w:val="2E5496"/>
          <w:sz w:val="24"/>
          <w:szCs w:val="24"/>
        </w:rPr>
        <w:t xml:space="preserve">What the Simplified Relief Procedure Actually Requires</w:t>
      </w:r>
    </w:p>
    <w:p>
      <w:pPr>
        <w:spacing w:after="140" w:line="276"/>
      </w:pPr>
      <w:r>
        <w:rPr>
          <w:rFonts w:ascii="Calibri" w:cs="Calibri" w:eastAsia="Calibri" w:hAnsi="Calibri"/>
          <w:sz w:val="21"/>
          <w:szCs w:val="21"/>
        </w:rPr>
        <w:t xml:space="preserve">An S-election is generally required to be filed within a defined window relative to the intended effective date, and a business that misses that window, or whose original filing is rejected by the IRS for a technical defect — most commonly a missing shareholder consent statement, which every shareholder as of the intended effective date must sign — nominally reverts to being taxed under its default classification (a C-corporation or a partnership, depending on entity type) instead of as an S-corporation. Historically, fixing this required an expensive private ruling request; a simplified procedure now lets an eligible business instead file the late or corrected election directly, along with specific supporting statements, without that ruling request.</w:t>
      </w:r>
    </w:p>
    <w:p>
      <w:pPr>
        <w:spacing w:after="140" w:line="276"/>
      </w:pPr>
      <w:r>
        <w:rPr>
          <w:rFonts w:ascii="Calibri" w:cs="Calibri" w:eastAsia="Calibri" w:hAnsi="Calibri"/>
          <w:sz w:val="21"/>
          <w:szCs w:val="21"/>
        </w:rPr>
        <w:t xml:space="preserve">To use the simplified procedure, the business generally must show: it intended to be classified as an S-corporation as of the intended effective date and failed to qualify solely because the election was not timely or properly filed; it has reasonable cause for the failure (an explanation the business believes in good faith excuses the oversight — administrative error, miscommunication about who was responsible for filing, or similar); it has consistently filed its returns and reported its income and any shareholder items as though the S-election had been in effect from the intended date; and the request is filed within a defined period after the business discovers the problem, commonly measured in a number of years from the intended effective date.</w:t>
      </w:r>
    </w:p>
    <w:p>
      <w:pPr>
        <w:spacing w:after="140" w:line="276"/>
      </w:pPr>
      <w:r>
        <w:rPr>
          <w:rFonts w:ascii="Calibri" w:cs="Calibri" w:eastAsia="Calibri" w:hAnsi="Calibri"/>
          <w:sz w:val="21"/>
          <w:szCs w:val="21"/>
        </w:rPr>
        <w:t xml:space="preserve">The "consistent treatment" requirement is doing real work here — a business cannot treat itself as a C-corporation on some years' returns and then retroactively claim it always intended S status once a specific tax benefit becomes attractive. The relief exists to correct genuine administrative failures where the business's actual conduct (its books, its returns, and its shareholders' own reporting) already reflects S-corporation treatment, not to let a business cherry-pick its classification after the fact.</w:t>
      </w:r>
    </w:p>
    <w:p>
      <w:pPr>
        <w:pStyle w:val="ListParagraph"/>
        <w:numPr>
          <w:ilvl w:val="0"/>
          <w:numId w:val="2"/>
        </w:numPr>
        <w:spacing w:after="60" w:line="276"/>
      </w:pPr>
      <w:r>
        <w:rPr>
          <w:rFonts w:ascii="Calibri" w:cs="Calibri" w:eastAsia="Calibri" w:hAnsi="Calibri"/>
          <w:sz w:val="21"/>
          <w:szCs w:val="21"/>
        </w:rPr>
        <w:t xml:space="preserve">Confirm every shareholder as of the intended effective date actually signs the required consent statement — a missing signature from even one shareholder is one of the most common reasons an original election is rejected in the first place.</w:t>
      </w:r>
    </w:p>
    <w:p>
      <w:pPr>
        <w:pStyle w:val="ListParagraph"/>
        <w:numPr>
          <w:ilvl w:val="0"/>
          <w:numId w:val="2"/>
        </w:numPr>
        <w:spacing w:after="60" w:line="276"/>
      </w:pPr>
      <w:r>
        <w:rPr>
          <w:rFonts w:ascii="Calibri" w:cs="Calibri" w:eastAsia="Calibri" w:hAnsi="Calibri"/>
          <w:sz w:val="21"/>
          <w:szCs w:val="21"/>
        </w:rPr>
        <w:t xml:space="preserve">Document the specific reasonable-cause explanation for the delay in writing at the time relief is sought, since this written statement is a required part of the simplified filing itself, not an optional supplement.</w:t>
      </w:r>
    </w:p>
    <w:p>
      <w:pPr>
        <w:pStyle w:val="ListParagraph"/>
        <w:numPr>
          <w:ilvl w:val="0"/>
          <w:numId w:val="2"/>
        </w:numPr>
        <w:spacing w:after="60" w:line="276"/>
      </w:pPr>
      <w:r>
        <w:rPr>
          <w:rFonts w:ascii="Calibri" w:cs="Calibri" w:eastAsia="Calibri" w:hAnsi="Calibri"/>
          <w:sz w:val="21"/>
          <w:szCs w:val="21"/>
        </w:rPr>
        <w:t xml:space="preserve">Confirm the business has, in fact, been filing and reporting consistently with S-corporation treatment since the intended effective date — inconsistent treatment can defeat eligibility for the simplified procedure entirely.</w:t>
      </w:r>
    </w:p>
    <w:p>
      <w:pPr>
        <w:pStyle w:val="ListParagraph"/>
        <w:numPr>
          <w:ilvl w:val="0"/>
          <w:numId w:val="2"/>
        </w:numPr>
        <w:spacing w:after="60" w:line="276"/>
      </w:pPr>
      <w:r>
        <w:rPr>
          <w:rFonts w:ascii="Calibri" w:cs="Calibri" w:eastAsia="Calibri" w:hAnsi="Calibri"/>
          <w:sz w:val="21"/>
          <w:szCs w:val="21"/>
        </w:rPr>
        <w:t xml:space="preserve">Do not treat the effective date as settled until IRS acceptance of the late-filed or corrected election is actually confirmed in writing — a business proceeding on the assumption of S status before that confirmation is exposed if the relief request is ultimately denied.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intended to be an S-corporation from its very first day of operation and filed the election form on time, but the IRS later rejects the filing because one of the shareholders never signed the required consent statement. Rather than accepting default classification for the years already elapsed, the business gathers signed consent statements from every shareholder, prepares a written explanation of the administrative oversight that caused the missing signature, and confirms that every return filed since the intended effective date has already been prepared and reported as though the S-election were in place. It then files the corrected election under the simplified late-election relief procedure, and upon IRS acceptance, the S-election is treated as effective from the original intended date — preserving the S-corporation tax treatment the business always intended, without ever needing to request an expensive private ruling.</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Because a pending business transaction (a sale, a financing closing, or a change in ownership) can turn on whether S status is actually in effect, a business relying on this relief should confirm written IRS acceptance before treating the S-election as settled for any purpose beyond its own tax return — the relief request itself is not a guarantee of approval.</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74. The Clean Vehicle Tax Credit for Business-Use Electric Vehicles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w:t>
      </w:r>
    </w:p>
    <w:p>
      <w:pPr>
        <w:spacing w:after="140" w:line="276"/>
      </w:pPr>
      <w:r>
        <w:rPr>
          <w:rFonts w:ascii="Calibri" w:cs="Calibri" w:eastAsia="Calibri" w:hAnsi="Calibri"/>
          <w:sz w:val="21"/>
          <w:szCs w:val="21"/>
        </w:rPr>
        <w:t xml:space="preserve">A business that purchases a qualifying electric or plug-in hybrid vehicle for business use may be entitled to a federal tax credit on top of, and completely independent from, whatever depreciation deduction the vehicle separately generates. Because the credit and the depreciation deduction operate under entirely different sets of rules, a vehicle purchase can be evaluated for both benefits at once — but each has its own eligibility requirements that must be separately confirmed, and neither one's applicability should be assumed from the other.</w:t>
      </w:r>
    </w:p>
    <w:p>
      <w:pPr>
        <w:pStyle w:val="Heading2"/>
        <w:spacing w:after="80" w:before="200"/>
      </w:pPr>
      <w:r>
        <w:rPr>
          <w:rFonts w:ascii="Calibri" w:cs="Calibri" w:eastAsia="Calibri" w:hAnsi="Calibri"/>
          <w:b/>
          <w:bCs/>
          <w:color w:val="2E5496"/>
          <w:sz w:val="24"/>
          <w:szCs w:val="24"/>
        </w:rPr>
        <w:t xml:space="preserve">A Credit Layered on Top of, Not Instead of, Depreciation</w:t>
      </w:r>
    </w:p>
    <w:p>
      <w:pPr>
        <w:spacing w:after="140" w:line="276"/>
      </w:pPr>
      <w:r>
        <w:rPr>
          <w:rFonts w:ascii="Calibri" w:cs="Calibri" w:eastAsia="Calibri" w:hAnsi="Calibri"/>
          <w:sz w:val="21"/>
          <w:szCs w:val="21"/>
        </w:rPr>
        <w:t xml:space="preserve">The clean vehicle credit rewards the purchase of a qualifying new electric or plug-in hybrid vehicle meeting specific manufacturing, battery-component, and price-cap requirements that can change from year to year and by vehicle model — eligibility is not simply a function of the vehicle being electric, and a specific make and model that qualified in one year is not guaranteed to still qualify in a later year as sourcing and assembly requirements are phased in. A separate, similarly structured credit applies specifically to vehicles used for business purposes, with its own set of qualifying criteria that can differ from the consumer-facing version of the credit.</w:t>
      </w:r>
    </w:p>
    <w:p>
      <w:pPr>
        <w:spacing w:after="140" w:line="276"/>
      </w:pPr>
      <w:r>
        <w:rPr>
          <w:rFonts w:ascii="Calibri" w:cs="Calibri" w:eastAsia="Calibri" w:hAnsi="Calibri"/>
          <w:sz w:val="21"/>
          <w:szCs w:val="21"/>
        </w:rPr>
        <w:t xml:space="preserve">This credit is entirely distinct from any depreciation benefit the same vehicle purchase might independently generate — a heavier-class electric vehicle used for business can potentially be eligible for the credit, for full first-year bonus depreciation or § 179 expensing (subject to whatever vehicle-weight and business-use rules apply to depreciation generally), and for the credit, all from the same purchase. Neither benefit is contingent on qualifying for the other; a vehicle can fail the credit's specific sourcing or price-cap requirements while still fully qualifying for accelerated depreciation, or vice versa.</w:t>
      </w:r>
    </w:p>
    <w:p>
      <w:pPr>
        <w:spacing w:after="140" w:line="276"/>
      </w:pPr>
      <w:r>
        <w:rPr>
          <w:rFonts w:ascii="Calibri" w:cs="Calibri" w:eastAsia="Calibri" w:hAnsi="Calibri"/>
          <w:sz w:val="21"/>
          <w:szCs w:val="21"/>
        </w:rPr>
        <w:t xml:space="preserve">Because eligibility criteria for the credit change over time and depend on manufacturing and sourcing details that are not always obvious to the buyer, the credit amount and eligibility for a specific vehicle should be confirmed against current guidance at the time of purchase — commonly through information the seller or manufacturer is required to provide at the time of sale — rather than assumed based on a vehicle's general reputation as an eligible model in an earlier year.</w:t>
      </w:r>
    </w:p>
    <w:p>
      <w:pPr>
        <w:pStyle w:val="ListParagraph"/>
        <w:numPr>
          <w:ilvl w:val="0"/>
          <w:numId w:val="2"/>
        </w:numPr>
        <w:spacing w:after="60" w:line="276"/>
      </w:pPr>
      <w:r>
        <w:rPr>
          <w:rFonts w:ascii="Calibri" w:cs="Calibri" w:eastAsia="Calibri" w:hAnsi="Calibri"/>
          <w:sz w:val="21"/>
          <w:szCs w:val="21"/>
        </w:rPr>
        <w:t xml:space="preserve">Confirm the specific vehicle's eligibility for the credit at the time of purchase, since manufacturing-location, battery-component, and price-cap requirements are specific to the exact model, trim, and model year, and can change from year to year.</w:t>
      </w:r>
    </w:p>
    <w:p>
      <w:pPr>
        <w:pStyle w:val="ListParagraph"/>
        <w:numPr>
          <w:ilvl w:val="0"/>
          <w:numId w:val="2"/>
        </w:numPr>
        <w:spacing w:after="60" w:line="276"/>
      </w:pPr>
      <w:r>
        <w:rPr>
          <w:rFonts w:ascii="Calibri" w:cs="Calibri" w:eastAsia="Calibri" w:hAnsi="Calibri"/>
          <w:sz w:val="21"/>
          <w:szCs w:val="21"/>
        </w:rPr>
        <w:t xml:space="preserve">Evaluate the depreciation benefit (bonus depreciation, § 179, or the heavy-vehicle rules, as applicable based on the vehicle's weight class) completely separately from the credit — confirming eligibility for one does not confirm eligibility for the other.</w:t>
      </w:r>
    </w:p>
    <w:p>
      <w:pPr>
        <w:pStyle w:val="ListParagraph"/>
        <w:numPr>
          <w:ilvl w:val="0"/>
          <w:numId w:val="2"/>
        </w:numPr>
        <w:spacing w:after="60" w:line="276"/>
      </w:pPr>
      <w:r>
        <w:rPr>
          <w:rFonts w:ascii="Calibri" w:cs="Calibri" w:eastAsia="Calibri" w:hAnsi="Calibri"/>
          <w:sz w:val="21"/>
          <w:szCs w:val="21"/>
        </w:rPr>
        <w:t xml:space="preserve">Maintain the same contemporaneous business-use substantiation this credit and any depreciation benefit both require — a mileage log or comparable records demonstrating the actual percentage of business use, since both benefits can be reduced or disallowed without it.</w:t>
      </w:r>
    </w:p>
    <w:p>
      <w:pPr>
        <w:pStyle w:val="ListParagraph"/>
        <w:numPr>
          <w:ilvl w:val="0"/>
          <w:numId w:val="2"/>
        </w:numPr>
        <w:spacing w:after="60" w:line="276"/>
      </w:pPr>
      <w:r>
        <w:rPr>
          <w:rFonts w:ascii="Calibri" w:cs="Calibri" w:eastAsia="Calibri" w:hAnsi="Calibri"/>
          <w:sz w:val="21"/>
          <w:szCs w:val="21"/>
        </w:rPr>
        <w:t xml:space="preserve">Coordinate the purchase timing and any trade-in with whoever prepares the business's return, since claiming the credit generally requires specific information from the seller at the time of sale that can be difficult to obtain after the fact.</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purchases a new, qualifying electric vehicle for use exclusively in its operations. At the time of purchase, the dealer confirms the specific model qualifies for the federal clean vehicle credit under the applicable manufacturing and price-cap requirements for that model year, and the business separately confirms, based on the vehicle's weight class and 100% business use, that it also qualifies for full first-year bonus depreciation. The business claims both benefits from the single purchase — the credit is claimed on the appropriate credit form, entirely independent of the depreciation deduction claimed on the same vehicle, with the business maintaining contemporaneous business-use records supporting both.</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Because these eligibility rules are unusually sensitive to specific manufacturing and sourcing details that change over time, treat any assumption about a vehicle's eligibility based on "electric vehicles generally qualify" as unreliable — confirm the specific model and model year against current guidance before finalizing the purchase decision.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75. Modeling State Decoupling Before Committing to a Bonus Depreciation Strategy</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  ·  Real Estate</w:t>
      </w:r>
    </w:p>
    <w:p>
      <w:pPr>
        <w:spacing w:after="140" w:line="276"/>
      </w:pPr>
      <w:r>
        <w:rPr>
          <w:rFonts w:ascii="Calibri" w:cs="Calibri" w:eastAsia="Calibri" w:hAnsi="Calibri"/>
          <w:sz w:val="21"/>
          <w:szCs w:val="21"/>
        </w:rPr>
        <w:t xml:space="preserve">A cost-segregation study, a large equipment purchase, or a new-vehicle acquisition can generate a very large first-year federal depreciation deduction — but a meaningful number of states do not conform to federal bonus depreciation rules, and some cap or disallow § 179 expensing as well. A business that quotes or plans around the federal tax savings from an acceleration strategy without checking state conformity can be caught off guard by a large state-level addback that erases much of the state-tax benefit the federal number implied.</w:t>
      </w:r>
    </w:p>
    <w:p>
      <w:pPr>
        <w:pStyle w:val="Heading2"/>
        <w:spacing w:after="80" w:before="200"/>
      </w:pPr>
      <w:r>
        <w:rPr>
          <w:rFonts w:ascii="Calibri" w:cs="Calibri" w:eastAsia="Calibri" w:hAnsi="Calibri"/>
          <w:b/>
          <w:bCs/>
          <w:color w:val="2E5496"/>
          <w:sz w:val="24"/>
          <w:szCs w:val="24"/>
        </w:rPr>
        <w:t xml:space="preserve">Why the Same Deduction Can Land Very Differently at the State Level</w:t>
      </w:r>
    </w:p>
    <w:p>
      <w:pPr>
        <w:spacing w:after="140" w:line="276"/>
      </w:pPr>
      <w:r>
        <w:rPr>
          <w:rFonts w:ascii="Calibri" w:cs="Calibri" w:eastAsia="Calibri" w:hAnsi="Calibri"/>
          <w:sz w:val="21"/>
          <w:szCs w:val="21"/>
        </w:rPr>
        <w:t xml:space="preserve">Federal bonus depreciation allows a large percentage (varying by law and placed-in-service date) of the cost of qualifying property to be deducted immediately rather than depreciated over its normal recovery period. A number of states, however, do not automatically adopt this accelerated federal treatment into their own tax codes — some states require an add-back of some or all of the bonus depreciation claimed federally, spreading the actual state-level deduction back out over the asset's regular depreciation schedule instead. A similar decoupling can apply to § 179 expensing, where a state imposes its own, often much lower, dollar cap than the federal limit.</w:t>
      </w:r>
    </w:p>
    <w:p>
      <w:pPr>
        <w:spacing w:after="140" w:line="276"/>
      </w:pPr>
      <w:r>
        <w:rPr>
          <w:rFonts w:ascii="Calibri" w:cs="Calibri" w:eastAsia="Calibri" w:hAnsi="Calibri"/>
          <w:sz w:val="21"/>
          <w:szCs w:val="21"/>
        </w:rPr>
        <w:t xml:space="preserve">This means the same acceleration strategy — a cost-segregation study on a new commercial building, a large vehicle purchase, or new equipment — can produce a federal deduction of, say, the full purchase price in year one, while the state deduction for that same year is only a small fraction of that amount, with the difference added back to state taxable income and recovered only gradually over the following years as the state's own depreciation schedule catches up. A business or its advisor quoting only the federal tax savings of an acceleration strategy, without separately modeling the state addback, can materially overstate the total first-year benefit to a client operating in a decoupled state.</w:t>
      </w:r>
    </w:p>
    <w:p>
      <w:pPr>
        <w:spacing w:after="140" w:line="276"/>
      </w:pPr>
      <w:r>
        <w:rPr>
          <w:rFonts w:ascii="Calibri" w:cs="Calibri" w:eastAsia="Calibri" w:hAnsi="Calibri"/>
          <w:sz w:val="21"/>
          <w:szCs w:val="21"/>
        </w:rPr>
        <w:t xml:space="preserve">The mechanical fix is straightforward once identified: model both a federal depreciation schedule and a separate state depreciation schedule for any large acceleration strategy in a jurisdiction with a state income tax, and track the resulting book-to-state-return difference (commonly called a decoupling modification or addback) explicitly on the state return, rather than assuming the state simply follows federal.</w:t>
      </w:r>
    </w:p>
    <w:p>
      <w:pPr>
        <w:pStyle w:val="ListParagraph"/>
        <w:numPr>
          <w:ilvl w:val="0"/>
          <w:numId w:val="2"/>
        </w:numPr>
        <w:spacing w:after="60" w:line="276"/>
      </w:pPr>
      <w:r>
        <w:rPr>
          <w:rFonts w:ascii="Calibri" w:cs="Calibri" w:eastAsia="Calibri" w:hAnsi="Calibri"/>
          <w:sz w:val="21"/>
          <w:szCs w:val="21"/>
        </w:rPr>
        <w:t xml:space="preserve">Before quoting the tax savings of any large depreciation-acceleration strategy, confirm whether every state where the business or its owners are subject to income tax conforms to federal bonus depreciation and § 179, since conformity varies meaningfully from state to state and can also change from year to year as state legislatures act.</w:t>
      </w:r>
    </w:p>
    <w:p>
      <w:pPr>
        <w:pStyle w:val="ListParagraph"/>
        <w:numPr>
          <w:ilvl w:val="0"/>
          <w:numId w:val="2"/>
        </w:numPr>
        <w:spacing w:after="60" w:line="276"/>
      </w:pPr>
      <w:r>
        <w:rPr>
          <w:rFonts w:ascii="Calibri" w:cs="Calibri" w:eastAsia="Calibri" w:hAnsi="Calibri"/>
          <w:sz w:val="21"/>
          <w:szCs w:val="21"/>
        </w:rPr>
        <w:t xml:space="preserve">Maintain two parallel depreciation schedules for any asset subject to a state addback — the federal schedule reflecting the accelerated deduction, and a separate state schedule reflecting the state's own recovery period — since the state deduction will catch up gradually over the asset's life even though it was not available immediately.</w:t>
      </w:r>
    </w:p>
    <w:p>
      <w:pPr>
        <w:pStyle w:val="ListParagraph"/>
        <w:numPr>
          <w:ilvl w:val="0"/>
          <w:numId w:val="2"/>
        </w:numPr>
        <w:spacing w:after="60" w:line="276"/>
      </w:pPr>
      <w:r>
        <w:rPr>
          <w:rFonts w:ascii="Calibri" w:cs="Calibri" w:eastAsia="Calibri" w:hAnsi="Calibri"/>
          <w:sz w:val="21"/>
          <w:szCs w:val="21"/>
        </w:rPr>
        <w:t xml:space="preserve">Quote the tax savings of any acceleration strategy separately by jurisdiction (federal savings, state savings net of any addback) rather than as a single blended number, so a client operating in a decoupled state has an accurate picture of the actual near-term benefit.</w:t>
      </w:r>
    </w:p>
    <w:p>
      <w:pPr>
        <w:pStyle w:val="ListParagraph"/>
        <w:numPr>
          <w:ilvl w:val="0"/>
          <w:numId w:val="2"/>
        </w:numPr>
        <w:spacing w:after="60" w:line="276"/>
      </w:pPr>
      <w:r>
        <w:rPr>
          <w:rFonts w:ascii="Calibri" w:cs="Calibri" w:eastAsia="Calibri" w:hAnsi="Calibri"/>
          <w:sz w:val="21"/>
          <w:szCs w:val="21"/>
        </w:rPr>
        <w:t xml:space="preserve">Revisit state conformity whenever planning a similar strategy again in a future year, since a state's conformity position on bonus depreciation and § 179 is a matter of that state's own legislation and can change independent of federal law.</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in a state that requires a full addback of federal bonus depreciation places $1,000,000 of qualifying equipment in service and claims 100% federal bonus depreciation — a full $1,000,000 federal deduction in year one, worth roughly $210,000 in federal tax savings at a 21% rate. But the state requires the entire $1,000,000 to be added back to state taxable income in year one, then recovered over the equipment's normal 7-year state depreciation schedule instead — about $143,000 per year going forward. At a 6% state rate, the business had modeled a combined first-year savings of roughly $270,000 (federal plus state), when the actual first-year benefit is only the $210,000 federal piece; the $60,000 of assumed state savings does not arrive until it is recovered gradually over the following seven years. Quoting the state and federal benefits separately from the outset — rather than as one blended number — would have let the business correctly size its state estimated payments for the placed-in-service year instead of being caught short by an unexpected state balance due.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76. Managing the Built-In Gains Tax When Converting a C-Corporation to an S-Corporation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  ·  C-Corporation</w:t>
      </w:r>
    </w:p>
    <w:p>
      <w:pPr>
        <w:spacing w:after="140" w:line="276"/>
      </w:pPr>
      <w:r>
        <w:rPr>
          <w:rFonts w:ascii="Calibri" w:cs="Calibri" w:eastAsia="Calibri" w:hAnsi="Calibri"/>
          <w:sz w:val="21"/>
          <w:szCs w:val="21"/>
        </w:rPr>
        <w:t xml:space="preserve">A C-corporation that converts to S-corporation status does not automatically escape corporate-level tax on appreciation that built up before the conversion. A separate entity-level tax applies to any gain "built in" as of the conversion date — meaning appreciation in the corporation's assets, or income the corporation had already economically earned but not yet recognized for tax purposes — if that gain is actually recognized (through a sale, or through other triggering events) within a fixed recognition period after the S-election takes effect. Understanding what counts as built-in gain, and how long the exposure period runs, is essential before assuming a C-to-S conversion produces an immediate, clean switch to single-layer taxation.</w:t>
      </w:r>
    </w:p>
    <w:p>
      <w:pPr>
        <w:pStyle w:val="Heading2"/>
        <w:spacing w:after="80" w:before="200"/>
      </w:pPr>
      <w:r>
        <w:rPr>
          <w:rFonts w:ascii="Calibri" w:cs="Calibri" w:eastAsia="Calibri" w:hAnsi="Calibri"/>
          <w:b/>
          <w:bCs/>
          <w:color w:val="2E5496"/>
          <w:sz w:val="24"/>
          <w:szCs w:val="24"/>
        </w:rPr>
        <w:t xml:space="preserve">What Triggers the Tax, and How Long the Exposure Lasts</w:t>
      </w:r>
    </w:p>
    <w:p>
      <w:pPr>
        <w:spacing w:after="140" w:line="276"/>
      </w:pPr>
      <w:r>
        <w:rPr>
          <w:rFonts w:ascii="Calibri" w:cs="Calibri" w:eastAsia="Calibri" w:hAnsi="Calibri"/>
          <w:sz w:val="21"/>
          <w:szCs w:val="21"/>
        </w:rPr>
        <w:t xml:space="preserve">The built-in gains tax exists to prevent a C-corporation from using an S-election to avoid the corporate-level tax that would otherwise apply if it simply sold its appreciated assets while still a C-corporation. It applies a corporate-level tax, generally at the highest corporate rate, to the portion of any gain recognized during a fixed recognition period after conversion (commonly five years) that is attributable to built-in appreciation or built-in income that existed as of the conversion date — essentially treating the corporation, for this narrow purpose, as though it were still a C-corporation with respect to that specific pre-conversion value, even though it is now taxed as an S-corporation for everything else.</w:t>
      </w:r>
    </w:p>
    <w:p>
      <w:pPr>
        <w:spacing w:after="140" w:line="276"/>
      </w:pPr>
      <w:r>
        <w:rPr>
          <w:rFonts w:ascii="Calibri" w:cs="Calibri" w:eastAsia="Calibri" w:hAnsi="Calibri"/>
          <w:sz w:val="21"/>
          <w:szCs w:val="21"/>
        </w:rPr>
        <w:t xml:space="preserve">Built-in gain is not limited to obviously appreciated assets like real estate or securities — it can also include income the corporation had already substantively earned before conversion but had not yet recognized for tax purposes because of its accounting method. A business using a method that defers income recognition until a later triggering event (for example, one that recognizes revenue only when a long-term project is substantially finished, rather than progressively as work is performed) can have a very large built-in-gain exposure sitting in unrecognized income on jobs or projects that were already substantially complete as of the conversion date, even without any single asset having appreciated in the traditional sense.</w:t>
      </w:r>
    </w:p>
    <w:p>
      <w:pPr>
        <w:spacing w:after="140" w:line="276"/>
      </w:pPr>
      <w:r>
        <w:rPr>
          <w:rFonts w:ascii="Calibri" w:cs="Calibri" w:eastAsia="Calibri" w:hAnsi="Calibri"/>
          <w:sz w:val="21"/>
          <w:szCs w:val="21"/>
        </w:rPr>
        <w:t xml:space="preserve">Because the built-in-gains computation depends on establishing the fair market value and tax basis of every relevant asset (and the extent of any unrecognized income) precisely as of the conversion date, this is not a calculation that can be reconstructed casually after the fact — it requires a contemporaneous valuation and asset-level accounting exercise performed at or very near the conversion itself. A corporation that lets years pass before ever computing its built-in-gain exposure may find it has no reliable record of what its position actually was on the conversion date, precisely when accuracy matters most.</w:t>
      </w:r>
    </w:p>
    <w:p>
      <w:pPr>
        <w:pStyle w:val="ListParagraph"/>
        <w:numPr>
          <w:ilvl w:val="0"/>
          <w:numId w:val="2"/>
        </w:numPr>
        <w:spacing w:after="60" w:line="276"/>
      </w:pPr>
      <w:r>
        <w:rPr>
          <w:rFonts w:ascii="Calibri" w:cs="Calibri" w:eastAsia="Calibri" w:hAnsi="Calibri"/>
          <w:sz w:val="21"/>
          <w:szCs w:val="21"/>
        </w:rPr>
        <w:t xml:space="preserve">Compute the built-in-gains exposure — asset by asset, and including any income not yet recognized under the corporation's accounting method — as of the conversion date itself, not years later; this is a valuation and accounting exercise that only gets harder to reconstruct accurately with time.</w:t>
      </w:r>
    </w:p>
    <w:p>
      <w:pPr>
        <w:pStyle w:val="ListParagraph"/>
        <w:numPr>
          <w:ilvl w:val="0"/>
          <w:numId w:val="2"/>
        </w:numPr>
        <w:spacing w:after="60" w:line="276"/>
      </w:pPr>
      <w:r>
        <w:rPr>
          <w:rFonts w:ascii="Calibri" w:cs="Calibri" w:eastAsia="Calibri" w:hAnsi="Calibri"/>
          <w:sz w:val="21"/>
          <w:szCs w:val="21"/>
        </w:rPr>
        <w:t xml:space="preserve">Track the recognition-period clock carefully from the S-election's effective date, since gain recognized after that period generally escapes the built-in-gains tax entirely, making the timing of any planned asset sale during versus after the recognition period a real economic decision.</w:t>
      </w:r>
    </w:p>
    <w:p>
      <w:pPr>
        <w:pStyle w:val="ListParagraph"/>
        <w:numPr>
          <w:ilvl w:val="0"/>
          <w:numId w:val="2"/>
        </w:numPr>
        <w:spacing w:after="60" w:line="276"/>
      </w:pPr>
      <w:r>
        <w:rPr>
          <w:rFonts w:ascii="Calibri" w:cs="Calibri" w:eastAsia="Calibri" w:hAnsi="Calibri"/>
          <w:sz w:val="21"/>
          <w:szCs w:val="21"/>
        </w:rPr>
        <w:t xml:space="preserve">Consider moving significantly appreciated assets out of the corporation before conversion, while it is still a C-corporation (subject to whatever ordinary corporate-level tax applies to that transfer), if doing so avoids years of built-in-gains exposure on that specific asset after conversion — but model the immediate tax cost of the pre-conversion transfer against the built-in-gains exposure it avoids, since one is not automatically cheaper than the other.</w:t>
      </w:r>
    </w:p>
    <w:p>
      <w:pPr>
        <w:pStyle w:val="ListParagraph"/>
        <w:numPr>
          <w:ilvl w:val="0"/>
          <w:numId w:val="2"/>
        </w:numPr>
        <w:spacing w:after="60" w:line="276"/>
      </w:pPr>
      <w:r>
        <w:rPr>
          <w:rFonts w:ascii="Calibri" w:cs="Calibri" w:eastAsia="Calibri" w:hAnsi="Calibri"/>
          <w:sz w:val="21"/>
          <w:szCs w:val="21"/>
        </w:rPr>
        <w:t xml:space="preserve">For a business on a deferred-recognition accounting method, build a realistic estimate of unrecognized income embedded in open work as of the conversion date — this can be a far larger built-in-gain exposure than any single tangible asset, and is easy to overlook if built-in gains are analyzed only by looking at the balance sheet's fixed assets.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C-corporation converts to S-corporation status on January 1. As of that date, it owns a building with a tax basis of $600,000 and a fair market value of $1,400,000 — an $800,000 built-in gain — confirmed by a contemporaneous appraisal obtained specifically for the conversion. Three years into the five-year recognition period, the corporation sells the building for $1,500,000. Of the $900,000 total gain on the sale ($1,500,000 minus $600,000 basis), $800,000 is built-in gain that existed on the conversion date and is taxed at the corporate level at the flat corporate rate (21% under current law) — a corporate-level tax of $168,000 — before the remaining income flows through to the shareholders and is taxed again on their personal returns as pass-through income. Only the $100,000 of gain that accrued after conversion ($1,500,000 minus the $1,400,000 conversion-date value) escapes the built-in-gains tax entirely. Had the corporation waited two more years — past the five-year recognition period — to sell the same building at the same price, the entire $900,000 gain would have passed through to the shareholders with no corporate-level tax at all, a $168,000 difference driven purely by timing the sale relative to the recognition-period clock.</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77. Complete Termination Stock Redemptions for Capital-Gain Buyout Treatment</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  ·  C-Corporation</w:t>
      </w:r>
    </w:p>
    <w:p>
      <w:pPr>
        <w:spacing w:after="140" w:line="276"/>
      </w:pPr>
      <w:r>
        <w:rPr>
          <w:rFonts w:ascii="Calibri" w:cs="Calibri" w:eastAsia="Calibri" w:hAnsi="Calibri"/>
          <w:sz w:val="21"/>
          <w:szCs w:val="21"/>
        </w:rPr>
        <w:t xml:space="preserve">When a corporation buys out a departing shareholder's entire ownership stake, how that payment is structured determines whether the shareholder is taxed favorably, at capital-gain rates on the gain over their basis, or unfavorably, as if the entire payment were an ordinary dividend. A redemption that completely terminates the departing shareholder's interest — including any interest attributed to them through family ownership — is one of the most reliable ways to secure capital-gain treatment, but the family-attribution rules that can defeat it are easy to overlook when the buyer and the remaining owners are relatives.</w:t>
      </w:r>
    </w:p>
    <w:p>
      <w:pPr>
        <w:pStyle w:val="Heading2"/>
        <w:spacing w:after="80" w:before="200"/>
      </w:pPr>
      <w:r>
        <w:rPr>
          <w:rFonts w:ascii="Calibri" w:cs="Calibri" w:eastAsia="Calibri" w:hAnsi="Calibri"/>
          <w:b/>
          <w:bCs/>
          <w:color w:val="2E5496"/>
          <w:sz w:val="24"/>
          <w:szCs w:val="24"/>
        </w:rPr>
        <w:t xml:space="preserve">Why "Complete" Termination Is the Operative Word</w:t>
      </w:r>
    </w:p>
    <w:p>
      <w:pPr>
        <w:spacing w:after="140" w:line="276"/>
      </w:pPr>
      <w:r>
        <w:rPr>
          <w:rFonts w:ascii="Calibri" w:cs="Calibri" w:eastAsia="Calibri" w:hAnsi="Calibri"/>
          <w:sz w:val="21"/>
          <w:szCs w:val="21"/>
        </w:rPr>
        <w:t xml:space="preserve">When a corporation redeems (buys back) a shareholder's stock, the default tax treatment is not automatically capital gain — a redemption is taxed as a dividend (ordinary income, with no offset for the shareholder's basis in the stock) unless it fits into one of several specific exceptions. One of the most useful of those exceptions applies when the redemption completely terminates the shareholder's entire interest in the corporation — not just a majority of it, not just their voting control, but their entire ownership interest, with no stock and generally no other prohibited continuing relationship (such as remaining as an officer, director, or employee) retained afterward.</w:t>
      </w:r>
    </w:p>
    <w:p>
      <w:pPr>
        <w:spacing w:after="140" w:line="276"/>
      </w:pPr>
      <w:r>
        <w:rPr>
          <w:rFonts w:ascii="Calibri" w:cs="Calibri" w:eastAsia="Calibri" w:hAnsi="Calibri"/>
          <w:sz w:val="21"/>
          <w:szCs w:val="21"/>
        </w:rPr>
        <w:t xml:space="preserve">The complication that catches many family-business buyouts off guard is the attribution rules: for purposes of measuring whether a shareholder's interest was completely terminated, stock owned by certain close family members (typically a spouse, children, grandchildren, and parents) is treated as if the redeemed shareholder still owned it, even though they do not actually hold it personally. A parent who sells 100% of their own literal shares back to a family corporation, while a child continues to own shares in the same corporation, has generally not achieved a "complete termination" under the attribution rules as written — the child's continued ownership is attributed back to the parent, defeating the exception and exposing the entire redemption payment to dividend treatment instead of capital gain.</w:t>
      </w:r>
    </w:p>
    <w:p>
      <w:pPr>
        <w:spacing w:after="140" w:line="276"/>
      </w:pPr>
      <w:r>
        <w:rPr>
          <w:rFonts w:ascii="Calibri" w:cs="Calibri" w:eastAsia="Calibri" w:hAnsi="Calibri"/>
          <w:sz w:val="21"/>
          <w:szCs w:val="21"/>
        </w:rPr>
        <w:t xml:space="preserve">A specific, narrow election exists to waive this family attribution for purposes of the complete-termination exception, but it comes with strict conditions — commonly including that the redeemed shareholder retain no prohibited interest in the corporation after the redemption (again, no continuing role as an officer, director, or employee, and no interest retained other than as a creditor), that the shareholder file the waiver with their own tax return for the year of the redemption, and that they agree to notify the IRS if they acquire any prohibited interest in the corporation within a specified period afterward. Missing any one of these conditions, or overlooking that the waiver must be affirmatively made and filed rather than assumed, can silently convert what was intended as a capital-gain buyout into a dividend.</w:t>
      </w:r>
    </w:p>
    <w:p>
      <w:pPr>
        <w:pStyle w:val="ListParagraph"/>
        <w:numPr>
          <w:ilvl w:val="0"/>
          <w:numId w:val="2"/>
        </w:numPr>
        <w:spacing w:after="60" w:line="276"/>
      </w:pPr>
      <w:r>
        <w:rPr>
          <w:rFonts w:ascii="Calibri" w:cs="Calibri" w:eastAsia="Calibri" w:hAnsi="Calibri"/>
          <w:sz w:val="21"/>
          <w:szCs w:val="21"/>
        </w:rPr>
        <w:t xml:space="preserve">Confirm precisely who is treated as owning stock attributable to the departing shareholder under the family-attribution rules before assuming a family buyout qualifies as a complete termination — attribution reaches a specific, defined list of relatives, not every family member in general.</w:t>
      </w:r>
    </w:p>
    <w:p>
      <w:pPr>
        <w:pStyle w:val="ListParagraph"/>
        <w:numPr>
          <w:ilvl w:val="0"/>
          <w:numId w:val="2"/>
        </w:numPr>
        <w:spacing w:after="60" w:line="276"/>
      </w:pPr>
      <w:r>
        <w:rPr>
          <w:rFonts w:ascii="Calibri" w:cs="Calibri" w:eastAsia="Calibri" w:hAnsi="Calibri"/>
          <w:sz w:val="21"/>
          <w:szCs w:val="21"/>
        </w:rPr>
        <w:t xml:space="preserve">If family attribution would otherwise defeat complete-termination treatment, evaluate whether the specific waiver-of-attribution election is available and file it correctly and timely with the departing shareholder's own return for the year of the redemption — this is not automatic and has its own strict conditions.</w:t>
      </w:r>
    </w:p>
    <w:p>
      <w:pPr>
        <w:pStyle w:val="ListParagraph"/>
        <w:numPr>
          <w:ilvl w:val="0"/>
          <w:numId w:val="2"/>
        </w:numPr>
        <w:spacing w:after="60" w:line="276"/>
      </w:pPr>
      <w:r>
        <w:rPr>
          <w:rFonts w:ascii="Calibri" w:cs="Calibri" w:eastAsia="Calibri" w:hAnsi="Calibri"/>
          <w:sz w:val="21"/>
          <w:szCs w:val="21"/>
        </w:rPr>
        <w:t xml:space="preserve">Make sure the departing shareholder genuinely retains no prohibited continuing interest in the corporation after the redemption — remaining as an officer, director, or employee (even informally, or as an unpaid advisor) can itself defeat the complete-termination exception regardless of what happens with the stock.</w:t>
      </w:r>
    </w:p>
    <w:p>
      <w:pPr>
        <w:pStyle w:val="ListParagraph"/>
        <w:numPr>
          <w:ilvl w:val="0"/>
          <w:numId w:val="2"/>
        </w:numPr>
        <w:spacing w:after="60" w:line="276"/>
      </w:pPr>
      <w:r>
        <w:rPr>
          <w:rFonts w:ascii="Calibri" w:cs="Calibri" w:eastAsia="Calibri" w:hAnsi="Calibri"/>
          <w:sz w:val="21"/>
          <w:szCs w:val="21"/>
        </w:rPr>
        <w:t xml:space="preserve">Model the after-tax outcome of capital-gain treatment against dividend treatment before finalizing the redemption structure, since the difference — capital gain measured against the shareholder's basis, versus a full-dollar-amount ordinary dividend with no basis offset — can be very large and is worth structuring around deliberately rather than discovering after the fact.</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parent who founded a family business holds stock with a basis of $200,000, and the corporation agrees to redeem all of it for $2,000,000 as part of a retirement buyout. If the redemption is taxed as a dividend (because the parent's child continues to own stock in the same corporation, and that ownership is attributed back to the parent under the family-attribution rules), the entire $2,000,000 is ordinary dividend income, with no offset for the parent's $200,000 basis — taxed at ordinary rates on the full amount. If instead the parent retains no prohibited continuing interest in the business (no board seat, no employment) and properly files the election waiving family attribution with their return for the year of the redemption, the redemption qualifies as a complete termination: the parent recognizes long-term capital gain of only $1,800,000 ($2,000,000 minus $200,000 basis), taxed at capital-gain rates rather than ordinary rates, and on a smaller taxable amount to begin with. At a rough combined ordinary-versus-capital-gain rate differential of 15 percentage points, that is on the order of $270,000–$300,000 of additional tax avoided purely by filing one election correctly and confirming no informal continuing relationship exists.</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78. Trump Accounts for Tax-Deferred Savings on Behalf of a Child</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Charitable &amp; Estate  ·  Individual / Investment</w:t>
      </w:r>
    </w:p>
    <w:p>
      <w:pPr>
        <w:spacing w:after="140" w:line="276"/>
      </w:pPr>
      <w:r>
        <w:rPr>
          <w:rFonts w:ascii="Calibri" w:cs="Calibri" w:eastAsia="Calibri" w:hAnsi="Calibri"/>
          <w:sz w:val="21"/>
          <w:szCs w:val="21"/>
        </w:rPr>
        <w:t xml:space="preserve">A newer tax-favored savings vehicle allows a parent, other family member, or even an employer to contribute funds on behalf of a child into an account that grows tax-deferred, in some cases with a government contribution seeding the account for eligible children — a distinct vehicle from a traditional 529 education plan or a custodial account, worth understanding on its own terms as one more lever in funding a child's future.</w:t>
      </w:r>
    </w:p>
    <w:p>
      <w:pPr>
        <w:pStyle w:val="Heading2"/>
        <w:spacing w:after="80" w:before="200"/>
      </w:pPr>
      <w:r>
        <w:rPr>
          <w:rFonts w:ascii="Calibri" w:cs="Calibri" w:eastAsia="Calibri" w:hAnsi="Calibri"/>
          <w:b/>
          <w:bCs/>
          <w:color w:val="2E5496"/>
          <w:sz w:val="24"/>
          <w:szCs w:val="24"/>
        </w:rPr>
        <w:t xml:space="preserve">How This Vehicle Differs From a 529 Plan or a Custodial Account</w:t>
      </w:r>
    </w:p>
    <w:p>
      <w:pPr>
        <w:spacing w:after="140" w:line="276"/>
      </w:pPr>
      <w:r>
        <w:rPr>
          <w:rFonts w:ascii="Calibri" w:cs="Calibri" w:eastAsia="Calibri" w:hAnsi="Calibri"/>
          <w:sz w:val="21"/>
          <w:szCs w:val="21"/>
        </w:rPr>
        <w:t xml:space="preserve">This account type is established for the benefit of a minor and permits contributions from multiple sources — a parent or other individual, and in some cases an employer on behalf of an employee's child — up to specified annual limits, with the funds growing on a tax-deferred basis inside the account. Unlike a 529 plan, which is generally most tax-efficient when the funds are ultimately used for qualifying education expenses, this account type is not restricted to an education-specific use, making it a more general-purpose savings vehicle for a child's benefit, subject to its own distribution and taxation rules once the child reaches the applicable age or takes a distribution.</w:t>
      </w:r>
    </w:p>
    <w:p>
      <w:pPr>
        <w:spacing w:after="140" w:line="276"/>
      </w:pPr>
      <w:r>
        <w:rPr>
          <w:rFonts w:ascii="Calibri" w:cs="Calibri" w:eastAsia="Calibri" w:hAnsi="Calibri"/>
          <w:sz w:val="21"/>
          <w:szCs w:val="21"/>
        </w:rPr>
        <w:t xml:space="preserve">An employer contribution on behalf of an employee's child is a distinguishing feature worth noting specifically — a business considering ways to enhance its overall benefits package for employees with young children may find this an additional, relatively novel lever, separate from and in addition to any retirement plan or health benefit the business already offers, though the mechanics and limits of an employer contribution should be confirmed directly against current guidance given how new this vehicle is.</w:t>
      </w:r>
    </w:p>
    <w:p>
      <w:pPr>
        <w:spacing w:after="140" w:line="276"/>
      </w:pPr>
      <w:r>
        <w:rPr>
          <w:rFonts w:ascii="Calibri" w:cs="Calibri" w:eastAsia="Calibri" w:hAnsi="Calibri"/>
          <w:sz w:val="21"/>
          <w:szCs w:val="21"/>
        </w:rPr>
        <w:t xml:space="preserve">Because this is a newly enacted vehicle, the operational details — exact contribution limits, whether the account converts or rolls into another vehicle at a certain age, and the precise tax treatment of qualifying versus nonqualifying distributions — are still being clarified through IRS guidance as the vehicle rolls out. Anyone considering funding one of these accounts, or an employer considering offering contributions to them, should confirm the current mechanics directly rather than relying on an early, possibly incomplete understanding of how the vehicle ultimately operates.</w:t>
      </w:r>
    </w:p>
    <w:p>
      <w:pPr>
        <w:pStyle w:val="ListParagraph"/>
        <w:numPr>
          <w:ilvl w:val="0"/>
          <w:numId w:val="2"/>
        </w:numPr>
        <w:spacing w:after="60" w:line="276"/>
      </w:pPr>
      <w:r>
        <w:rPr>
          <w:rFonts w:ascii="Calibri" w:cs="Calibri" w:eastAsia="Calibri" w:hAnsi="Calibri"/>
          <w:sz w:val="21"/>
          <w:szCs w:val="21"/>
        </w:rPr>
        <w:t xml:space="preserve">Compare this vehicle against a 529 plan and a custodial account side by side for the specific goal in mind — a 529 plan remains generally the more tax-efficient choice if the funds are earmarked specifically for future education costs, while this vehicle's more general-purpose nature may suit a family that wants flexibility beyond education.</w:t>
      </w:r>
    </w:p>
    <w:p>
      <w:pPr>
        <w:pStyle w:val="ListParagraph"/>
        <w:numPr>
          <w:ilvl w:val="0"/>
          <w:numId w:val="2"/>
        </w:numPr>
        <w:spacing w:after="60" w:line="276"/>
      </w:pPr>
      <w:r>
        <w:rPr>
          <w:rFonts w:ascii="Calibri" w:cs="Calibri" w:eastAsia="Calibri" w:hAnsi="Calibri"/>
          <w:sz w:val="21"/>
          <w:szCs w:val="21"/>
        </w:rPr>
        <w:t xml:space="preserve">If offering an employer contribution to employees' children as a benefit, confirm the current contribution mechanics, limits, and any required plan documentation directly against current guidance before implementing, since the rules for the employer-contribution feature are still developing.</w:t>
      </w:r>
    </w:p>
    <w:p>
      <w:pPr>
        <w:pStyle w:val="ListParagraph"/>
        <w:numPr>
          <w:ilvl w:val="0"/>
          <w:numId w:val="2"/>
        </w:numPr>
        <w:spacing w:after="60" w:line="276"/>
      </w:pPr>
      <w:r>
        <w:rPr>
          <w:rFonts w:ascii="Calibri" w:cs="Calibri" w:eastAsia="Calibri" w:hAnsi="Calibri"/>
          <w:sz w:val="21"/>
          <w:szCs w:val="21"/>
        </w:rPr>
        <w:t xml:space="preserve">Coordinate contributions to this account with any other tax-advantaged savings already being made on the child's behalf (a 529 plan, a custodial account, or a Roth IRA once the child has earned income) so that contribution limits and the overall savings strategy are considered together rather than in isolation.</w:t>
      </w:r>
    </w:p>
    <w:p>
      <w:pPr>
        <w:pStyle w:val="ListParagraph"/>
        <w:numPr>
          <w:ilvl w:val="0"/>
          <w:numId w:val="2"/>
        </w:numPr>
        <w:spacing w:after="60" w:line="276"/>
      </w:pPr>
      <w:r>
        <w:rPr>
          <w:rFonts w:ascii="Calibri" w:cs="Calibri" w:eastAsia="Calibri" w:hAnsi="Calibri"/>
          <w:sz w:val="21"/>
          <w:szCs w:val="21"/>
        </w:rPr>
        <w:t xml:space="preserve">Revisit the guidance periodically given how recently this vehicle was enacted — operational details that are unclear or evolving today are likely to be clarified over time, and an early assumption about how the account works at maturity may not hold once fuller guidance is issued.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parent wants to set aside savings for a newborn's future without restricting the funds specifically to education costs the way a 529 plan effectively does. The parent opens a new tax-favored account for the child, contributing the applicable annual limit each year starting at birth, with the funds growing tax-deferred rather than taxed annually as they would be in an ordinary custodial brokerage account. If the child's employer-sponsored eligibility applies once the parent is employed at a company that offers it, an employer contribution on the child's behalf can stack on top of the parent's own contributions within the combined annual limit — money the family would not otherwise have received at all. The parent continues separately funding a 529 plan for anticipated college costs, using the two vehicles side by side: the 529 plan earmarked specifically for education, and the new account left flexible for whatever the child's needs turn out to be at the age the account becomes accessible — a down payment, a business, or expenses a 529 plan's education-only rules would not have covered without additional tax and penalty.</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79. Modeling the QBI Cost Before Raising S-Corp Wages to Fund a Retirement Plan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  ·  Retirement Planning</w:t>
      </w:r>
    </w:p>
    <w:p>
      <w:pPr>
        <w:spacing w:after="140" w:line="276"/>
      </w:pPr>
      <w:r>
        <w:rPr>
          <w:rFonts w:ascii="Calibri" w:cs="Calibri" w:eastAsia="Calibri" w:hAnsi="Calibri"/>
          <w:sz w:val="21"/>
          <w:szCs w:val="21"/>
        </w:rPr>
        <w:t xml:space="preserve">Increasing an S-corporation owner's W-2 salary is often necessary to unlock a larger retirement-plan contribution, since many plan contribution limits are calculated as a percentage of the recipient's own compensation. But for a profitable non-specified-service business, raising that same salary can simultaneously shrink the owner's qualified business income (QBI) deduction dollar-for-dollar, because wages paid to an owner are subtracted from the pass-through business income that the 20% deduction is calculated against in the first place — a cost that is easy to overlook if only the retirement benefit is modeled.</w:t>
      </w:r>
    </w:p>
    <w:p>
      <w:pPr>
        <w:pStyle w:val="Heading2"/>
        <w:spacing w:after="80" w:before="200"/>
      </w:pPr>
      <w:r>
        <w:rPr>
          <w:rFonts w:ascii="Calibri" w:cs="Calibri" w:eastAsia="Calibri" w:hAnsi="Calibri"/>
          <w:b/>
          <w:bCs/>
          <w:color w:val="2E5496"/>
          <w:sz w:val="24"/>
          <w:szCs w:val="24"/>
        </w:rPr>
        <w:t xml:space="preserve">Two Separate Mechanisms Pulling in Opposite Directions</w:t>
      </w:r>
    </w:p>
    <w:p>
      <w:pPr>
        <w:spacing w:after="140" w:line="276"/>
      </w:pPr>
      <w:r>
        <w:rPr>
          <w:rFonts w:ascii="Calibri" w:cs="Calibri" w:eastAsia="Calibri" w:hAnsi="Calibri"/>
          <w:sz w:val="21"/>
          <w:szCs w:val="21"/>
        </w:rPr>
        <w:t xml:space="preserve">The QBI deduction generally equals 20% of a taxpayer's qualified business income, subject (above an income threshold) to a limitation tied to the W-2 wages the business pays. Many owners understand this wage-limitation test only as a floor to clear — pay enough in W-2 wages, and the 20% deduction is no longer capped. What is less often modeled is that the wages themselves are excluded from qualified business income at the entity level in the first place: an S-corporation's ordinary business income, which flows through to the shareholder as the QBI base, is already computed net of officer compensation. Raising an owner's salary by a given dollar amount does not just help clear the wage-limitation test — it can directly reduce the qualified business income base itself by that same dollar amount, cutting the 20% deduction by roughly 20 cents for every dollar of additional wages, even for a business that was never at risk of failing the wage-limitation test to begin with.</w:t>
      </w:r>
    </w:p>
    <w:p>
      <w:pPr>
        <w:spacing w:after="140" w:line="276"/>
      </w:pPr>
      <w:r>
        <w:rPr>
          <w:rFonts w:ascii="Calibri" w:cs="Calibri" w:eastAsia="Calibri" w:hAnsi="Calibri"/>
          <w:sz w:val="21"/>
          <w:szCs w:val="21"/>
        </w:rPr>
        <w:t xml:space="preserve">This matters most for a business whose owner is not currently constrained by the wage-limitation test at all — a business already paying wages well above the threshold needed to unlock the full 20% deduction. For that owner, raising salary further to fund a larger retirement contribution produces no QBI benefit whatsoever (the wage test was never the binding constraint) while still directly shrinking the QBI deduction base — meaning the QBI cost of the wage increase is essentially pure downside, with the entire justification for raising the salary needing to come from the retirement-contribution benefit and the value of the audit-defense support for a defensible reasonable-compensation position, not from any QBI benefit.</w:t>
      </w:r>
    </w:p>
    <w:p>
      <w:pPr>
        <w:spacing w:after="140" w:line="276"/>
      </w:pPr>
      <w:r>
        <w:rPr>
          <w:rFonts w:ascii="Calibri" w:cs="Calibri" w:eastAsia="Calibri" w:hAnsi="Calibri"/>
          <w:sz w:val="21"/>
          <w:szCs w:val="21"/>
        </w:rPr>
        <w:t xml:space="preserve">The right way to evaluate a wage increase intended primarily to fund a larger retirement contribution is therefore a net calculation across several moving pieces at once: the additional payroll tax cost of the wage increase; the QBI deduction lost as qualified business income shrinks by the same dollar amount; the value of the larger retirement contribution the higher salary unlocks; and, where relevant, any small-employer retirement-plan credits available on the incremental employer contribution. A wage increase that looks obviously beneficial when evaluated only against the retirement-plan math can turn out to be a net loser, or a much smaller net win than it first appeared, once the QBI erosion is priced in — the deciding factor is rarely intuitive without actually running the combined numbers.</w:t>
      </w:r>
    </w:p>
    <w:p>
      <w:pPr>
        <w:pStyle w:val="ListParagraph"/>
        <w:numPr>
          <w:ilvl w:val="0"/>
          <w:numId w:val="2"/>
        </w:numPr>
        <w:spacing w:after="60" w:line="276"/>
      </w:pPr>
      <w:r>
        <w:rPr>
          <w:rFonts w:ascii="Calibri" w:cs="Calibri" w:eastAsia="Calibri" w:hAnsi="Calibri"/>
          <w:sz w:val="21"/>
          <w:szCs w:val="21"/>
        </w:rPr>
        <w:t xml:space="preserve">Do not evaluate a proposed reasonable-compensation increase purely against the retirement-plan benefit it unlocks — model the QBI deduction lost, the additional payroll tax cost, and the retirement benefit gained together, as one combined calculation, not as separate independent decisions.</w:t>
      </w:r>
    </w:p>
    <w:p>
      <w:pPr>
        <w:pStyle w:val="ListParagraph"/>
        <w:numPr>
          <w:ilvl w:val="0"/>
          <w:numId w:val="2"/>
        </w:numPr>
        <w:spacing w:after="60" w:line="276"/>
      </w:pPr>
      <w:r>
        <w:rPr>
          <w:rFonts w:ascii="Calibri" w:cs="Calibri" w:eastAsia="Calibri" w:hAnsi="Calibri"/>
          <w:sz w:val="21"/>
          <w:szCs w:val="21"/>
        </w:rPr>
        <w:t xml:space="preserve">Determine first whether the business is currently constrained by the QBI wage-limitation test at all — if it is already comfortably above the wage threshold needed for the full 20% deduction, raising wages further produces no QBI upside and only QBI downside from the shrinking income base.</w:t>
      </w:r>
    </w:p>
    <w:p>
      <w:pPr>
        <w:pStyle w:val="ListParagraph"/>
        <w:numPr>
          <w:ilvl w:val="0"/>
          <w:numId w:val="2"/>
        </w:numPr>
        <w:spacing w:after="60" w:line="276"/>
      </w:pPr>
      <w:r>
        <w:rPr>
          <w:rFonts w:ascii="Calibri" w:cs="Calibri" w:eastAsia="Calibri" w:hAnsi="Calibri"/>
          <w:sz w:val="21"/>
          <w:szCs w:val="21"/>
        </w:rPr>
        <w:t xml:space="preserve">Where a small-employer retirement-plan credit is available on the incremental employer contribution funded by the higher salary, include that credit explicitly in the net calculation — it can meaningfully offset the QBI and payroll-tax cost of the wage increase.</w:t>
      </w:r>
    </w:p>
    <w:p>
      <w:pPr>
        <w:pStyle w:val="ListParagraph"/>
        <w:numPr>
          <w:ilvl w:val="0"/>
          <w:numId w:val="2"/>
        </w:numPr>
        <w:spacing w:after="60" w:line="276"/>
      </w:pPr>
      <w:r>
        <w:rPr>
          <w:rFonts w:ascii="Calibri" w:cs="Calibri" w:eastAsia="Calibri" w:hAnsi="Calibri"/>
          <w:sz w:val="21"/>
          <w:szCs w:val="21"/>
        </w:rPr>
        <w:t xml:space="preserve">Remember that reasonable compensation is ultimately a facts-and-circumstances requirement independent of tax optimization — a wage level chosen purely to minimize the net QBI/payroll-tax cost, without regard to what the owner's services are actually worth, can itself create exposure if it drifts too far from a defensible reasonable-compensation range.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The sole owner of a profitable, non-SSTB S-corporation already pays himself a $300,000 salary — comfortably above the roughly $200,000 wage level needed to clear the QBI wage-limitation test on the business's $900,000 of qualified business income, so his full 20% QBI deduction ($180,000) is already secure regardless of wages. His retirement-plan administrator proposes raising his salary to $450,000 (a $150,000 increase) to unlock a larger profit-sharing contribution. Modeled in isolation, the extra retirement contribution looks attractive; modeled together, the picture changes: the $150,000 wage increase costs roughly $4,350 in additional employer-side Medicare tax, and — because QBI is computed net of officer compensation — directly shrinks qualified business income from $900,000 to $750,000, cutting the QBI deduction from $180,000 to $150,000, a $30,000 loss worth about $11,100 in tax at a 37% bracket. Combined QBI-and-payroll cost: roughly $15,450 — against which the larger retirement contribution the higher salary unlocks needs to be worth meaningfully more than $15,450 to justify the wage increase at all. Running the numbers together, the owner and his advisor settle on a smaller $75,000 raise instead of the full $150,000 the plan administrator's design had proposed, capturing most of the retirement benefit at roughly half the QBI-and-payroll cost.</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80. The Disabled Access Credit for Small Business Accessibility Improvements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w:t>
      </w:r>
    </w:p>
    <w:p>
      <w:pPr>
        <w:spacing w:after="140" w:line="276"/>
      </w:pPr>
      <w:r>
        <w:rPr>
          <w:rFonts w:ascii="Calibri" w:cs="Calibri" w:eastAsia="Calibri" w:hAnsi="Calibri"/>
          <w:sz w:val="21"/>
          <w:szCs w:val="21"/>
        </w:rPr>
        <w:t xml:space="preserve">A small business that spends money to make its facilities, equipment, or services more accessible to people with disabilities can claim a federal tax credit for a portion of that spending — on top of, and calculated differently from, any ordinary deduction the same expenditure might otherwise generate. This credit is narrowly available only to businesses under a specific size threshold, but for an eligible business it converts what would otherwise be a routine cost of doing business into a partially subsidized one.</w:t>
      </w:r>
    </w:p>
    <w:p>
      <w:pPr>
        <w:pStyle w:val="Heading2"/>
        <w:spacing w:after="80" w:before="200"/>
      </w:pPr>
      <w:r>
        <w:rPr>
          <w:rFonts w:ascii="Calibri" w:cs="Calibri" w:eastAsia="Calibri" w:hAnsi="Calibri"/>
          <w:b/>
          <w:bCs/>
          <w:color w:val="2E5496"/>
          <w:sz w:val="24"/>
          <w:szCs w:val="24"/>
        </w:rPr>
        <w:t xml:space="preserve">A Credit, Not Just a Deduction, for Eligible Access Expenditures</w:t>
      </w:r>
    </w:p>
    <w:p>
      <w:pPr>
        <w:spacing w:after="140" w:line="276"/>
      </w:pPr>
      <w:r>
        <w:rPr>
          <w:rFonts w:ascii="Calibri" w:cs="Calibri" w:eastAsia="Calibri" w:hAnsi="Calibri"/>
          <w:sz w:val="21"/>
          <w:szCs w:val="21"/>
        </w:rPr>
        <w:t xml:space="preserve">This credit covers a percentage of "eligible access expenditures" — reasonable and necessary amounts paid or incurred to remove barriers that prevent a business from being accessible to or usable by individuals with disabilities, to provide qualified interpreters or other methods of making audio materials available to people with hearing impairments, to provide qualified readers or other methods of making visual materials available to people with visual impairments, or to acquire or modify equipment for individuals with disabilities — a fairly broad category covering both physical facility modifications and non-physical accommodations.</w:t>
      </w:r>
    </w:p>
    <w:p>
      <w:pPr>
        <w:spacing w:after="140" w:line="276"/>
      </w:pPr>
      <w:r>
        <w:rPr>
          <w:rFonts w:ascii="Calibri" w:cs="Calibri" w:eastAsia="Calibri" w:hAnsi="Calibri"/>
          <w:sz w:val="21"/>
          <w:szCs w:val="21"/>
        </w:rPr>
        <w:t xml:space="preserve">The credit is available only to a small business meeting a specific eligibility threshold, generally measured by either gross receipts or number of employees in the prior year — a business above that threshold does not qualify for this particular credit at all, regardless of how much it spends on accessibility, though it may still separately deduct the expenditure as an ordinary business expense. The credit itself is calculated as a percentage of eligible expenditures within a defined dollar range each year — meaning very small expenditures below a floor generate no credit, and spending above a cap does not generate additional credit beyond that ceiling, so the credit is most efficiently used by spending within its designed range rather than assuming a single very large project will maximize the benefit.</w:t>
      </w:r>
    </w:p>
    <w:p>
      <w:pPr>
        <w:spacing w:after="140" w:line="276"/>
      </w:pPr>
      <w:r>
        <w:rPr>
          <w:rFonts w:ascii="Calibri" w:cs="Calibri" w:eastAsia="Calibri" w:hAnsi="Calibri"/>
          <w:sz w:val="21"/>
          <w:szCs w:val="21"/>
        </w:rPr>
        <w:t xml:space="preserve">A business can potentially claim this credit year after year for new qualifying expenditures, since eligibility is evaluated on a yearly basis against that year's spending — a business making incremental accessibility improvements over several years, rather than all at once, may find claiming the credit annually against a moderate, sustained level of spending fits the credit's designed dollar range better than one large lump expenditure that exceeds the annual cap.</w:t>
      </w:r>
    </w:p>
    <w:p>
      <w:pPr>
        <w:pStyle w:val="ListParagraph"/>
        <w:numPr>
          <w:ilvl w:val="0"/>
          <w:numId w:val="2"/>
        </w:numPr>
        <w:spacing w:after="60" w:line="276"/>
      </w:pPr>
      <w:r>
        <w:rPr>
          <w:rFonts w:ascii="Calibri" w:cs="Calibri" w:eastAsia="Calibri" w:hAnsi="Calibri"/>
          <w:sz w:val="21"/>
          <w:szCs w:val="21"/>
        </w:rPr>
        <w:t xml:space="preserve">Confirm the business meets the size eligibility threshold (measured by prior-year gross receipts or employee count) before assuming any accessibility spending will generate this credit — a business above the threshold does not qualify regardless of its expenditures.</w:t>
      </w:r>
    </w:p>
    <w:p>
      <w:pPr>
        <w:pStyle w:val="ListParagraph"/>
        <w:numPr>
          <w:ilvl w:val="0"/>
          <w:numId w:val="2"/>
        </w:numPr>
        <w:spacing w:after="60" w:line="276"/>
      </w:pPr>
      <w:r>
        <w:rPr>
          <w:rFonts w:ascii="Calibri" w:cs="Calibri" w:eastAsia="Calibri" w:hAnsi="Calibri"/>
          <w:sz w:val="21"/>
          <w:szCs w:val="21"/>
        </w:rPr>
        <w:t xml:space="preserve">Track qualifying accessibility expenditures separately and specifically, since the credit calculation depends on the amount spent within a defined annual floor-and-ceiling range, not simply on total facility-improvement costs generally.</w:t>
      </w:r>
    </w:p>
    <w:p>
      <w:pPr>
        <w:pStyle w:val="ListParagraph"/>
        <w:numPr>
          <w:ilvl w:val="0"/>
          <w:numId w:val="2"/>
        </w:numPr>
        <w:spacing w:after="60" w:line="276"/>
      </w:pPr>
      <w:r>
        <w:rPr>
          <w:rFonts w:ascii="Calibri" w:cs="Calibri" w:eastAsia="Calibri" w:hAnsi="Calibri"/>
          <w:sz w:val="21"/>
          <w:szCs w:val="21"/>
        </w:rPr>
        <w:t xml:space="preserve">Consider spreading planned accessibility improvements across multiple years rather than one large project, if doing so lets the business claim the credit repeatedly within its designed annual dollar range rather than exceeding the cap in a single year.</w:t>
      </w:r>
    </w:p>
    <w:p>
      <w:pPr>
        <w:pStyle w:val="ListParagraph"/>
        <w:numPr>
          <w:ilvl w:val="0"/>
          <w:numId w:val="2"/>
        </w:numPr>
        <w:spacing w:after="60" w:line="276"/>
      </w:pPr>
      <w:r>
        <w:rPr>
          <w:rFonts w:ascii="Calibri" w:cs="Calibri" w:eastAsia="Calibri" w:hAnsi="Calibri"/>
          <w:sz w:val="21"/>
          <w:szCs w:val="21"/>
        </w:rPr>
        <w:t xml:space="preserve">Coordinate this credit with whatever ordinary deduction the same expenditure might separately generate — confirm with whoever prepares the return how the credit interacts with cost basis and depreciation for any capital improvement, since claiming the credit can affect the depreciable basis of the underlying property.</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small business below the eligibility threshold for this credit installs a wheelchair ramp and modifies a restroom to be accessible, and separately arranges for a qualified interpreter at an annual company event attended by a hearing-impaired employee. The business tracks these costs specifically as eligible access expenditures and claims the disabled access credit for a percentage of the qualifying spending, within the applicable annual dollar range, in addition to whatever ordinary business-expense treatment applies to the underlying costs.</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This credit is easy to overlook because it sits at the intersection of a size-based eligibility rule and a specific expenditure category — a business that has simply never checked whether it qualifies, or that assumes accessibility spending is "just an expense," can go years without ever claiming a credit it was fully entitled to.</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81. Employing Your Own Minor Children in the Family Business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  ·  Individual / Investment</w:t>
      </w:r>
    </w:p>
    <w:p>
      <w:pPr>
        <w:spacing w:after="140" w:line="276"/>
      </w:pPr>
      <w:r>
        <w:rPr>
          <w:rFonts w:ascii="Calibri" w:cs="Calibri" w:eastAsia="Calibri" w:hAnsi="Calibri"/>
          <w:sz w:val="21"/>
          <w:szCs w:val="21"/>
        </w:rPr>
        <w:t xml:space="preserve">A business owner with minor children can hire them for genuine work in the business, shifting income from the owner's higher tax bracket to the child's much lower one, and — if the business is structured the right way — avoiding Social Security, Medicare, and unemployment payroll taxes on those wages entirely. The tax benefit depends heavily on how the business itself is organized, since a special payroll-tax exemption for a parent employing their own child applies only when the employing business is a sole proprietorship or certain family partnerships, not when it is a corporation of any kind, including an S-corporation.</w:t>
      </w:r>
    </w:p>
    <w:p>
      <w:pPr>
        <w:pStyle w:val="Heading2"/>
        <w:spacing w:after="80" w:before="200"/>
      </w:pPr>
      <w:r>
        <w:rPr>
          <w:rFonts w:ascii="Calibri" w:cs="Calibri" w:eastAsia="Calibri" w:hAnsi="Calibri"/>
          <w:b/>
          <w:bCs/>
          <w:color w:val="2E5496"/>
          <w:sz w:val="24"/>
          <w:szCs w:val="24"/>
        </w:rPr>
        <w:t xml:space="preserve">Why the Business's Entity Type Determines the Payroll-Tax Benefit</w:t>
      </w:r>
    </w:p>
    <w:p>
      <w:pPr>
        <w:spacing w:after="140" w:line="276"/>
      </w:pPr>
      <w:r>
        <w:rPr>
          <w:rFonts w:ascii="Calibri" w:cs="Calibri" w:eastAsia="Calibri" w:hAnsi="Calibri"/>
          <w:sz w:val="21"/>
          <w:szCs w:val="21"/>
        </w:rPr>
        <w:t xml:space="preserve">Wages paid to a child under a specified age, employed by a parent, are exempt from Social Security and Medicare (FICA) tax and from federal unemployment (FUTA) tax — but only when the employing trade or business is a sole proprietorship owned by the parent, or a partnership where each partner is a parent of the child. This exemption does not extend to a corporation, including an S-corporation, even one wholly owned by the parents — wages paid by a corporation to an owner's minor child are subject to ordinary FICA and FUTA withholding just like wages paid to any other employee, regardless of the family relationship.</w:t>
      </w:r>
    </w:p>
    <w:p>
      <w:pPr>
        <w:spacing w:after="140" w:line="276"/>
      </w:pPr>
      <w:r>
        <w:rPr>
          <w:rFonts w:ascii="Calibri" w:cs="Calibri" w:eastAsia="Calibri" w:hAnsi="Calibri"/>
          <w:sz w:val="21"/>
          <w:szCs w:val="21"/>
        </w:rPr>
        <w:t xml:space="preserve">This creates a real structural planning question for a business owner whose operating business is already an S-corporation or other corporate entity: hiring a minor child directly through that corporate entity forfeits the FICA/FUTA exemption entirely. Some business owners address this by establishing a separate, genuinely operating management or service entity — organized as a sole proprietorship or a qualifying family partnership rather than a corporation — that performs real services for the main operating business and separately employs the children, preserving the payroll-tax exemption on their wages while the primary business remains a corporation for its own separate reasons.</w:t>
      </w:r>
    </w:p>
    <w:p>
      <w:pPr>
        <w:spacing w:after="140" w:line="276"/>
      </w:pPr>
      <w:r>
        <w:rPr>
          <w:rFonts w:ascii="Calibri" w:cs="Calibri" w:eastAsia="Calibri" w:hAnsi="Calibri"/>
          <w:sz w:val="21"/>
          <w:szCs w:val="21"/>
        </w:rPr>
        <w:t xml:space="preserve">Whatever the entity structure, the wages themselves must reflect genuine work actually performed, at a reasonable rate for that work — this is not a mechanism for creating a paper wage with no underlying substance. The child's wages, up to the standard deduction amount, are generally free of federal income tax to the child as well (since the standard deduction offsets ordinary earned income), meaning a business can shift a meaningful amount of otherwise-taxable business income into a child's hands where it may be taxed at 0% federal income tax and, when the exemption applies, at 0% payroll tax as well — while the business itself still deducts the wage as an ordinary business expense.</w:t>
      </w:r>
    </w:p>
    <w:p>
      <w:pPr>
        <w:pStyle w:val="ListParagraph"/>
        <w:numPr>
          <w:ilvl w:val="0"/>
          <w:numId w:val="2"/>
        </w:numPr>
        <w:spacing w:after="60" w:line="276"/>
      </w:pPr>
      <w:r>
        <w:rPr>
          <w:rFonts w:ascii="Calibri" w:cs="Calibri" w:eastAsia="Calibri" w:hAnsi="Calibri"/>
          <w:sz w:val="21"/>
          <w:szCs w:val="21"/>
        </w:rPr>
        <w:t xml:space="preserve">Confirm the actual entity type of the business paying the child's wages before assuming the FICA/FUTA exemption applies — a sole proprietorship or qualifying family partnership can generally use it; an S-corporation or other corporation cannot, regardless of family ownership.</w:t>
      </w:r>
    </w:p>
    <w:p>
      <w:pPr>
        <w:pStyle w:val="ListParagraph"/>
        <w:numPr>
          <w:ilvl w:val="0"/>
          <w:numId w:val="2"/>
        </w:numPr>
        <w:spacing w:after="60" w:line="276"/>
      </w:pPr>
      <w:r>
        <w:rPr>
          <w:rFonts w:ascii="Calibri" w:cs="Calibri" w:eastAsia="Calibri" w:hAnsi="Calibri"/>
          <w:sz w:val="21"/>
          <w:szCs w:val="21"/>
        </w:rPr>
        <w:t xml:space="preserve">If the primary operating business is a corporation, evaluate whether a genuinely operating, separately organized management or service entity — structured as a sole proprietorship or family partnership, performing real services for the operating business under a documented arrangement — could employ the children instead, to preserve the payroll-tax exemption.</w:t>
      </w:r>
    </w:p>
    <w:p>
      <w:pPr>
        <w:pStyle w:val="ListParagraph"/>
        <w:numPr>
          <w:ilvl w:val="0"/>
          <w:numId w:val="2"/>
        </w:numPr>
        <w:spacing w:after="60" w:line="276"/>
      </w:pPr>
      <w:r>
        <w:rPr>
          <w:rFonts w:ascii="Calibri" w:cs="Calibri" w:eastAsia="Calibri" w:hAnsi="Calibri"/>
          <w:sz w:val="21"/>
          <w:szCs w:val="21"/>
        </w:rPr>
        <w:t xml:space="preserve">Document the actual work the child performs, hours worked, and a reasonable wage rate for that work, with the same rigor as any other employee's payroll records — the tax benefit depends entirely on the wages reflecting genuine, substantiated work, not a nominal or undocumented arrangement.</w:t>
      </w:r>
    </w:p>
    <w:p>
      <w:pPr>
        <w:pStyle w:val="ListParagraph"/>
        <w:numPr>
          <w:ilvl w:val="0"/>
          <w:numId w:val="2"/>
        </w:numPr>
        <w:spacing w:after="60" w:line="276"/>
      </w:pPr>
      <w:r>
        <w:rPr>
          <w:rFonts w:ascii="Calibri" w:cs="Calibri" w:eastAsia="Calibri" w:hAnsi="Calibri"/>
          <w:sz w:val="21"/>
          <w:szCs w:val="21"/>
        </w:rPr>
        <w:t xml:space="preserve">Keep the child's annual wages within a level that makes sense given the actual work performed and the child's age and capacity — while there is no dollar cap on the strategy itself, wages that are clearly disproportionate to the work actually done invite the same reasonable-compensation scrutiny that applies to any related-party wage arrangement.</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owner whose primary operating company is organized as an S-corporation wants to hire two minor children for genuine administrative work — filing, data entry, and similar tasks appropriate to their ages — while preserving the payroll-tax exemption available when a parent employs their own child. Because the S-corporation itself cannot use that exemption, the owner instead employs the children through a separate, genuinely operating family management entity organized as a disregarded sole proprietorship, which performs actual administrative services for the S-corporation under a documented arrangement and pays the children directly for their work. The children's wages are exempt from FICA and FUTA tax because the employer is the sole proprietorship, not the corporation, and — kept within the standard deduction — are also free of federal income tax to the children, while the family management entity's cost is itself a deductible business expense passed through to the operating business.</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The entity-type distinction here is easy to overlook precisely because it seems like a technicality — many business owners assume that any family business can pay a minor child tax-free wages, without realizing that incorporating the business (a decision often made for entirely unrelated liability or tax reasons) can quietly eliminate this specific payroll-tax benefit unless a separate, properly structured entity is used to employ the children instead.</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82. The De Minimis Safe Harbor Election for Immediately Expensing Low-Cost Purchases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w:t>
      </w:r>
    </w:p>
    <w:p>
      <w:pPr>
        <w:spacing w:after="140" w:line="276"/>
      </w:pPr>
      <w:r>
        <w:rPr>
          <w:rFonts w:ascii="Calibri" w:cs="Calibri" w:eastAsia="Calibri" w:hAnsi="Calibri"/>
          <w:sz w:val="21"/>
          <w:szCs w:val="21"/>
        </w:rPr>
        <w:t xml:space="preserve">Ordinarily, a business purchase that benefits the business for more than one year has to be capitalized and depreciated gradually rather than deducted immediately. A specific safe-harbor election lets a business currently deduct the cost of many lower-priced items outright in the year purchased — computers, tools, small equipment, and similar purchases below a defined per-item or per-invoice dollar threshold — without needing to separately justify each purchase's useful life or apply formal depreciation to it, provided the election is made and consistently applied.</w:t>
      </w:r>
    </w:p>
    <w:p>
      <w:pPr>
        <w:pStyle w:val="Heading2"/>
        <w:spacing w:after="80" w:before="200"/>
      </w:pPr>
      <w:r>
        <w:rPr>
          <w:rFonts w:ascii="Calibri" w:cs="Calibri" w:eastAsia="Calibri" w:hAnsi="Calibri"/>
          <w:b/>
          <w:bCs/>
          <w:color w:val="2E5496"/>
          <w:sz w:val="24"/>
          <w:szCs w:val="24"/>
        </w:rPr>
        <w:t xml:space="preserve">A Simpler Alternative to Depreciating Every Small Purchase</w:t>
      </w:r>
    </w:p>
    <w:p>
      <w:pPr>
        <w:spacing w:after="140" w:line="276"/>
      </w:pPr>
      <w:r>
        <w:rPr>
          <w:rFonts w:ascii="Calibri" w:cs="Calibri" w:eastAsia="Calibri" w:hAnsi="Calibri"/>
          <w:sz w:val="21"/>
          <w:szCs w:val="21"/>
        </w:rPr>
        <w:t xml:space="preserve">Without this election, a business purchasing a laptop, a piece of shop equipment, or similar tangible property that will be used for more than a year is generally required to capitalize the cost and recover it gradually over the asset's depreciable life, or separately elect a mechanism like § 179 or bonus depreciation to accelerate the deduction — both of which require tracking the item on a formal depreciation schedule. The de minimis safe harbor offers a simpler alternative for lower-cost items specifically: a business with, generally, an applicable financial statement or a written capitalization policy in place at the start of the year can elect to currently deduct amounts paid for tangible property up to a defined per-item or per-invoice dollar threshold, treating the cost the same way it would treat an ordinary supply expense, with no depreciation schedule required.</w:t>
      </w:r>
    </w:p>
    <w:p>
      <w:pPr>
        <w:spacing w:after="140" w:line="276"/>
      </w:pPr>
      <w:r>
        <w:rPr>
          <w:rFonts w:ascii="Calibri" w:cs="Calibri" w:eastAsia="Calibri" w:hAnsi="Calibri"/>
          <w:sz w:val="21"/>
          <w:szCs w:val="21"/>
        </w:rPr>
        <w:t xml:space="preserve">The dollar threshold differs depending on whether the business has an applicable financial statement (audited financial statements or a similar formal financial statement, which supports a higher threshold) or does not (a lower threshold applies without one) — a business should confirm which threshold applies to it and structure its purchasing and invoicing accordingly, since the safe harbor is applied on a per-item or per-invoice basis (or per line item on an invoice, if items are separately stated), not against the business's total spending for the year as a whole.</w:t>
      </w:r>
    </w:p>
    <w:p>
      <w:pPr>
        <w:spacing w:after="140" w:line="276"/>
      </w:pPr>
      <w:r>
        <w:rPr>
          <w:rFonts w:ascii="Calibri" w:cs="Calibri" w:eastAsia="Calibri" w:hAnsi="Calibri"/>
          <w:sz w:val="21"/>
          <w:szCs w:val="21"/>
        </w:rPr>
        <w:t xml:space="preserve">This election must be made annually and applied consistently to all qualifying amounts for that year — a business cannot selectively apply the safe harbor to some qualifying purchases while capitalizing similar ones, and having a written capitalization policy in place at the start of the tax year (for a business without an applicable financial statement) is generally a condition of using the safe harbor at all, meaning a business that wants to use this election for a given year should have that policy documented before the year's purchases are made, not created retroactively at tax time.</w:t>
      </w:r>
    </w:p>
    <w:p>
      <w:pPr>
        <w:pStyle w:val="ListParagraph"/>
        <w:numPr>
          <w:ilvl w:val="0"/>
          <w:numId w:val="2"/>
        </w:numPr>
        <w:spacing w:after="60" w:line="276"/>
      </w:pPr>
      <w:r>
        <w:rPr>
          <w:rFonts w:ascii="Calibri" w:cs="Calibri" w:eastAsia="Calibri" w:hAnsi="Calibri"/>
          <w:sz w:val="21"/>
          <w:szCs w:val="21"/>
        </w:rPr>
        <w:t xml:space="preserve">Confirm which dollar threshold applies to the business (the higher threshold available with an applicable financial statement, or the lower threshold without one) before relying on this election for a given purchase.</w:t>
      </w:r>
    </w:p>
    <w:p>
      <w:pPr>
        <w:pStyle w:val="ListParagraph"/>
        <w:numPr>
          <w:ilvl w:val="0"/>
          <w:numId w:val="2"/>
        </w:numPr>
        <w:spacing w:after="60" w:line="276"/>
      </w:pPr>
      <w:r>
        <w:rPr>
          <w:rFonts w:ascii="Calibri" w:cs="Calibri" w:eastAsia="Calibri" w:hAnsi="Calibri"/>
          <w:sz w:val="21"/>
          <w:szCs w:val="21"/>
        </w:rPr>
        <w:t xml:space="preserve">Apply the safe harbor on a per-item or per-invoice basis (or per separately stated line item), not against the business's aggregate spending for the year — a single invoice with several qualifying line items can potentially have each item evaluated separately against the threshold.</w:t>
      </w:r>
    </w:p>
    <w:p>
      <w:pPr>
        <w:pStyle w:val="ListParagraph"/>
        <w:numPr>
          <w:ilvl w:val="0"/>
          <w:numId w:val="2"/>
        </w:numPr>
        <w:spacing w:after="60" w:line="276"/>
      </w:pPr>
      <w:r>
        <w:rPr>
          <w:rFonts w:ascii="Calibri" w:cs="Calibri" w:eastAsia="Calibri" w:hAnsi="Calibri"/>
          <w:sz w:val="21"/>
          <w:szCs w:val="21"/>
        </w:rPr>
        <w:t xml:space="preserve">Have a written capitalization policy in place, dated before the start of the tax year for which the election is made, particularly for a business without an applicable financial statement — this is typically a condition of the safe harbor, not an optional formality.</w:t>
      </w:r>
    </w:p>
    <w:p>
      <w:pPr>
        <w:pStyle w:val="ListParagraph"/>
        <w:numPr>
          <w:ilvl w:val="0"/>
          <w:numId w:val="2"/>
        </w:numPr>
        <w:spacing w:after="60" w:line="276"/>
      </w:pPr>
      <w:r>
        <w:rPr>
          <w:rFonts w:ascii="Calibri" w:cs="Calibri" w:eastAsia="Calibri" w:hAnsi="Calibri"/>
          <w:sz w:val="21"/>
          <w:szCs w:val="21"/>
        </w:rPr>
        <w:t xml:space="preserve">Make the election consistently for all qualifying amounts within a given year — the safe harbor is an annual, all-or-nothing election for qualifying items, not a purchase-by-purchase choice within the same year.</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small business without audited financial statements adopts a written capitalization policy before the start of its tax year, specifying that it will expense rather than capitalize tangible property purchases up to the applicable lower per-item threshold under the de minimis safe harbor. During the year, it purchases several laptops and a piece of small equipment, each individually priced below that threshold on separate invoice line items. Rather than setting up a depreciation schedule for each item, the business currently deducts the full cost of each qualifying purchase in the year paid, consistent with its written policy and the safe harbor election made on that year's return.</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This election is worth building into a business's standard purchasing and bookkeeping practice rather than treating as a year-end afterthought — the requirement for a written policy in place before the year begins means a business that only thinks of this election at tax-filing time may have already missed the window to apply it for that year.</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83. The ABLE Account for a Disabled Family Member's Tax-Advantaged Savings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Charitable &amp; Estate  ·  Individual / Investment</w:t>
      </w:r>
    </w:p>
    <w:p>
      <w:pPr>
        <w:spacing w:after="140" w:line="276"/>
      </w:pPr>
      <w:r>
        <w:rPr>
          <w:rFonts w:ascii="Calibri" w:cs="Calibri" w:eastAsia="Calibri" w:hAnsi="Calibri"/>
          <w:sz w:val="21"/>
          <w:szCs w:val="21"/>
        </w:rPr>
        <w:t xml:space="preserve">A family with a disabled child or other disabled family member can set up a specialized tax-advantaged savings account — distinct from and structured differently than a 529 education plan — that allows funds to grow tax-free for the beneficiary's qualifying disability-related expenses, generally without the balance counting against the strict asset limits that would otherwise jeopardize the beneficiary's eligibility for means-tested government benefits like Supplemental Security Income and Medicaid.</w:t>
      </w:r>
    </w:p>
    <w:p>
      <w:pPr>
        <w:pStyle w:val="Heading2"/>
        <w:spacing w:after="80" w:before="200"/>
      </w:pPr>
      <w:r>
        <w:rPr>
          <w:rFonts w:ascii="Calibri" w:cs="Calibri" w:eastAsia="Calibri" w:hAnsi="Calibri"/>
          <w:b/>
          <w:bCs/>
          <w:color w:val="2E5496"/>
          <w:sz w:val="24"/>
          <w:szCs w:val="24"/>
        </w:rPr>
        <w:t xml:space="preserve">Why This Vehicle Solves a Problem 529 Plans and Ordinary Savings Cannot</w:t>
      </w:r>
    </w:p>
    <w:p>
      <w:pPr>
        <w:spacing w:after="140" w:line="276"/>
      </w:pPr>
      <w:r>
        <w:rPr>
          <w:rFonts w:ascii="Calibri" w:cs="Calibri" w:eastAsia="Calibri" w:hAnsi="Calibri"/>
          <w:sz w:val="21"/>
          <w:szCs w:val="21"/>
        </w:rPr>
        <w:t xml:space="preserve">Many government benefit programs available to individuals with disabilities are means-tested, generally capping the total assets a beneficiary can hold in their own name before losing eligibility — a threshold so low that even modest ordinary savings in the beneficiary's own name can disqualify them from benefits they otherwise need. This specialized account type exists specifically to let a qualifying disabled individual accumulate savings, up to a certain balance, without that balance being counted toward those asset limits for purposes of federal means-tested benefit programs, addressing a problem that neither an ordinary savings account nor even a standard 529 education plan in the beneficiary's own name would solve.</w:t>
      </w:r>
    </w:p>
    <w:p>
      <w:pPr>
        <w:spacing w:after="140" w:line="276"/>
      </w:pPr>
      <w:r>
        <w:rPr>
          <w:rFonts w:ascii="Calibri" w:cs="Calibri" w:eastAsia="Calibri" w:hAnsi="Calibri"/>
          <w:sz w:val="21"/>
          <w:szCs w:val="21"/>
        </w:rPr>
        <w:t xml:space="preserve">To be eligible, the beneficiary generally must have had the qualifying disability begin before a specified age, and the disability must meet a defined severity standard (commonly satisfied by already receiving certain disability benefits, or by a physician's certification). Contributions to the account are subject to an annual limit, and the account can generally be established and contributed to by the beneficiary, a family member, or another person on the beneficiary's behalf, with the funds growing tax-free as long as distributions are used for qualifying disability-related expenses — a broad category covering education, housing, transportation, employment support, health and wellness, assistive technology, and other expenses related to living with the disability.</w:t>
      </w:r>
    </w:p>
    <w:p>
      <w:pPr>
        <w:spacing w:after="140" w:line="276"/>
      </w:pPr>
      <w:r>
        <w:rPr>
          <w:rFonts w:ascii="Calibri" w:cs="Calibri" w:eastAsia="Calibri" w:hAnsi="Calibri"/>
          <w:sz w:val="21"/>
          <w:szCs w:val="21"/>
        </w:rPr>
        <w:t xml:space="preserve">This is a distinct vehicle from a 529 education plan, even though both operate under a similarly numbered part of the tax code and share some structural similarities (tax-free growth, a designated beneficiary) — a 529 education plan is restricted to education-related qualifying expenses and does not offer any special treatment against means-tested benefit asset limits, while this account is specifically designed around disability-related expenses and benefit-eligibility protection. A family should not assume that funding a standard 529 plan for a disabled family member accomplishes what this specialized account is built for.</w:t>
      </w:r>
    </w:p>
    <w:p>
      <w:pPr>
        <w:pStyle w:val="ListParagraph"/>
        <w:numPr>
          <w:ilvl w:val="0"/>
          <w:numId w:val="2"/>
        </w:numPr>
        <w:spacing w:after="60" w:line="276"/>
      </w:pPr>
      <w:r>
        <w:rPr>
          <w:rFonts w:ascii="Calibri" w:cs="Calibri" w:eastAsia="Calibri" w:hAnsi="Calibri"/>
          <w:sz w:val="21"/>
          <w:szCs w:val="21"/>
        </w:rPr>
        <w:t xml:space="preserve">Confirm the beneficiary meets the eligibility requirements — disability onset before the applicable age threshold and the required severity standard — before assuming this account is available for a particular family member.</w:t>
      </w:r>
    </w:p>
    <w:p>
      <w:pPr>
        <w:pStyle w:val="ListParagraph"/>
        <w:numPr>
          <w:ilvl w:val="0"/>
          <w:numId w:val="2"/>
        </w:numPr>
        <w:spacing w:after="60" w:line="276"/>
      </w:pPr>
      <w:r>
        <w:rPr>
          <w:rFonts w:ascii="Calibri" w:cs="Calibri" w:eastAsia="Calibri" w:hAnsi="Calibri"/>
          <w:sz w:val="21"/>
          <w:szCs w:val="21"/>
        </w:rPr>
        <w:t xml:space="preserve">Track contributions against the applicable annual limit, since exceeding it can create adverse tax consequences and jeopardize the account's intended benefits.</w:t>
      </w:r>
    </w:p>
    <w:p>
      <w:pPr>
        <w:pStyle w:val="ListParagraph"/>
        <w:numPr>
          <w:ilvl w:val="0"/>
          <w:numId w:val="2"/>
        </w:numPr>
        <w:spacing w:after="60" w:line="276"/>
      </w:pPr>
      <w:r>
        <w:rPr>
          <w:rFonts w:ascii="Calibri" w:cs="Calibri" w:eastAsia="Calibri" w:hAnsi="Calibri"/>
          <w:sz w:val="21"/>
          <w:szCs w:val="21"/>
        </w:rPr>
        <w:t xml:space="preserve">Use distributions only for qualifying disability-related expenses to preserve the tax-free treatment of the account's growth — confirm what counts as a qualifying expense under current guidance before assuming a particular cost is covered.</w:t>
      </w:r>
    </w:p>
    <w:p>
      <w:pPr>
        <w:pStyle w:val="ListParagraph"/>
        <w:numPr>
          <w:ilvl w:val="0"/>
          <w:numId w:val="2"/>
        </w:numPr>
        <w:spacing w:after="60" w:line="276"/>
      </w:pPr>
      <w:r>
        <w:rPr>
          <w:rFonts w:ascii="Calibri" w:cs="Calibri" w:eastAsia="Calibri" w:hAnsi="Calibri"/>
          <w:sz w:val="21"/>
          <w:szCs w:val="21"/>
        </w:rPr>
        <w:t xml:space="preserve">Do not assume a standard 529 education plan accomplishes the same goal for a disabled family member — if benefit-eligibility protection or broader disability-related (not just education) expenses are the priority, this specialized account, not an ordinary 529 plan, is the vehicle designed for that purpose.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family's adult child has a qualifying disability that began well before age 26 and currently relies on Supplemental Security Income and Medicaid, both of which cut off benefits once the child's own assets exceed roughly $2,000 — a threshold so low that even a modest birthday-money savings account in the child's name could disqualify him. The family instead opens an ABLE account and contributes $19,000 in the first year (the annual contribution limit, tied to the gift-tax exclusion amount), which grows tax-free and does not count against the $2,000 SSI asset limit up to the ABLE account's own much higher balance cap (commonly in the $100,000-plus range depending on the state program, above which SSI, though not Medicaid, can be suspended until the balance drops back down). Over the next fifteen years, the family contributes $19,000 annually, and the account grows to roughly $410,000 assuming modest investment returns — money the child draws on for adaptive equipment, therapy copays, and housing modifications, all as qualifying disability expenses, without ever jeopardizing the SSI and Medicaid coverage the family could not otherwise replace privately. Had the family instead simply saved the same amount in a custodial account in the child's name, the very first $2,000 of savings would have put his benefits at risk.</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84. Timing Income and Gains Before a Move to a Higher-Tax State</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w:t>
      </w:r>
    </w:p>
    <w:p>
      <w:pPr>
        <w:spacing w:after="140" w:line="276"/>
      </w:pPr>
      <w:r>
        <w:rPr>
          <w:rFonts w:ascii="Calibri" w:cs="Calibri" w:eastAsia="Calibri" w:hAnsi="Calibri"/>
          <w:sz w:val="21"/>
          <w:szCs w:val="21"/>
        </w:rPr>
        <w:t xml:space="preserve">State income tax generally applies based on residency, and most states — unlike the federal system — do not offer any reduced rate for long-term capital gains, taxing them as ordinary income at the same rate as wages. A person planning a move from a low- or no-income-tax state to a high-tax state has a real, time-limited opportunity to accelerate income, sell appreciated positions, or trigger other recognition events before the move takes effect, taxing that income only once at the old state's (often lower or zero) rate instead of the new state's higher one.</w:t>
      </w:r>
    </w:p>
    <w:p>
      <w:pPr>
        <w:pStyle w:val="Heading2"/>
        <w:spacing w:after="80" w:before="200"/>
      </w:pPr>
      <w:r>
        <w:rPr>
          <w:rFonts w:ascii="Calibri" w:cs="Calibri" w:eastAsia="Calibri" w:hAnsi="Calibri"/>
          <w:b/>
          <w:bCs/>
          <w:color w:val="2E5496"/>
          <w:sz w:val="24"/>
          <w:szCs w:val="24"/>
        </w:rPr>
        <w:t xml:space="preserve">Why the Timing of the Move, Not Just the Move Itself, Is the Lever</w:t>
      </w:r>
    </w:p>
    <w:p>
      <w:pPr>
        <w:spacing w:after="140" w:line="276"/>
      </w:pPr>
      <w:r>
        <w:rPr>
          <w:rFonts w:ascii="Calibri" w:cs="Calibri" w:eastAsia="Calibri" w:hAnsi="Calibri"/>
          <w:sz w:val="21"/>
          <w:szCs w:val="21"/>
        </w:rPr>
        <w:t xml:space="preserve">Residency for state tax purposes is generally established on a specific date — determined by where a person maintains their permanent home, where they spend the majority of their time, and similar facts — and once residency shifts to a new state, that state generally taxes the resident's income going forward (and, in some cases, worldwide income, not just income sourced to that state). Income or gains recognized before the residency change are generally sourced to and taxed by the prior state under its own rules, while anything recognized afterward falls under the new state's rules instead. This creates a real, if time-limited, planning window: a taxpayer who knows a move to a materially higher-tax state is coming can choose to accelerate the recognition of income or gains into the period before the move, locking in the more favorable prior-state tax treatment for that income.</w:t>
      </w:r>
    </w:p>
    <w:p>
      <w:pPr>
        <w:spacing w:after="140" w:line="276"/>
      </w:pPr>
      <w:r>
        <w:rPr>
          <w:rFonts w:ascii="Calibri" w:cs="Calibri" w:eastAsia="Calibri" w:hAnsi="Calibri"/>
          <w:sz w:val="21"/>
          <w:szCs w:val="21"/>
        </w:rPr>
        <w:t xml:space="preserve">The capital-gains piece is particularly significant because many states, including some of the highest-tax states, do not conform to the federal preferential long-term capital-gains rate at all — a long-term gain that would be taxed federally at a reduced rate is often taxed by the state at the same rate as ordinary wage income. A taxpayer moving from a no-income-tax state to a state with this treatment faces a stark contrast: a gain recognized before the move may bear no state tax at all, while the identical gain recognized after the move can be taxed by the new state at a rate matching its top ordinary bracket — often into the double digits. This makes appreciated positions a taxpayer was already planning to sell a natural candidate for acceleration ahead of a known move, assuming the sale otherwise makes sense on its own investment merits.</w:t>
      </w:r>
    </w:p>
    <w:p>
      <w:pPr>
        <w:spacing w:after="140" w:line="276"/>
      </w:pPr>
      <w:r>
        <w:rPr>
          <w:rFonts w:ascii="Calibri" w:cs="Calibri" w:eastAsia="Calibri" w:hAnsi="Calibri"/>
          <w:sz w:val="21"/>
          <w:szCs w:val="21"/>
        </w:rPr>
        <w:t xml:space="preserve">The same logic extends beyond investment sales to any income the taxpayer has some control over the timing of: invoicing and collecting business receivables, taking a large one-time bonus or distribution, or recognizing other discretionary income. Anything genuinely accelerated into the period before residency changes is sourced to and taxed by the prior state; anything that happens afterward is not — but this only works for income where the recognition date can be legitimately controlled or influenced, not for income the taxpayer has no ability to accelerate or defer.</w:t>
      </w:r>
    </w:p>
    <w:p>
      <w:pPr>
        <w:pStyle w:val="ListParagraph"/>
        <w:numPr>
          <w:ilvl w:val="0"/>
          <w:numId w:val="2"/>
        </w:numPr>
        <w:spacing w:after="60" w:line="276"/>
      </w:pPr>
      <w:r>
        <w:rPr>
          <w:rFonts w:ascii="Calibri" w:cs="Calibri" w:eastAsia="Calibri" w:hAnsi="Calibri"/>
          <w:sz w:val="21"/>
          <w:szCs w:val="21"/>
        </w:rPr>
        <w:t xml:space="preserve">Identify the exact date residency in the new state is expected to be established, and treat everything before that date as the window for accelerating discretionary income and gains under the prior state's (typically more favorable) tax treatment.</w:t>
      </w:r>
    </w:p>
    <w:p>
      <w:pPr>
        <w:pStyle w:val="ListParagraph"/>
        <w:numPr>
          <w:ilvl w:val="0"/>
          <w:numId w:val="2"/>
        </w:numPr>
        <w:spacing w:after="60" w:line="276"/>
      </w:pPr>
      <w:r>
        <w:rPr>
          <w:rFonts w:ascii="Calibri" w:cs="Calibri" w:eastAsia="Calibri" w:hAnsi="Calibri"/>
          <w:sz w:val="21"/>
          <w:szCs w:val="21"/>
        </w:rPr>
        <w:t xml:space="preserve">Prioritize appreciated investment positions the taxpayer was already planning to sell, particularly if the destination state taxes long-term capital gains as ordinary income rather than at a reduced rate — the tax-rate differential on these positions can be especially large.</w:t>
      </w:r>
    </w:p>
    <w:p>
      <w:pPr>
        <w:pStyle w:val="ListParagraph"/>
        <w:numPr>
          <w:ilvl w:val="0"/>
          <w:numId w:val="2"/>
        </w:numPr>
        <w:spacing w:after="60" w:line="276"/>
      </w:pPr>
      <w:r>
        <w:rPr>
          <w:rFonts w:ascii="Calibri" w:cs="Calibri" w:eastAsia="Calibri" w:hAnsi="Calibri"/>
          <w:sz w:val="21"/>
          <w:szCs w:val="21"/>
        </w:rPr>
        <w:t xml:space="preserve">Confirm the destination state's specific rules on conformity to federal capital-gains treatment and on worldwide-versus-sourced income for new residents before assuming a given acceleration produces the expected benefit — state rules vary significantly and change over time.</w:t>
      </w:r>
    </w:p>
    <w:p>
      <w:pPr>
        <w:pStyle w:val="ListParagraph"/>
        <w:numPr>
          <w:ilvl w:val="0"/>
          <w:numId w:val="2"/>
        </w:numPr>
        <w:spacing w:after="60" w:line="276"/>
      </w:pPr>
      <w:r>
        <w:rPr>
          <w:rFonts w:ascii="Calibri" w:cs="Calibri" w:eastAsia="Calibri" w:hAnsi="Calibri"/>
          <w:sz w:val="21"/>
          <w:szCs w:val="21"/>
        </w:rPr>
        <w:t xml:space="preserve">Do not let this planning window justify accelerating a transaction that would not otherwise make sense on its own economic or investment merits — the tax savings from timing should be a secondary benefit of a sale or income event the taxpayer was already inclined to make, not the sole reason to force one.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individual living in a state with no personal income tax plans a move to a state that taxes long-term capital gains as ordinary income at a high marginal rate. Holding a substantial appreciated investment position they were already planning to sell in the near future, they accelerate the sale to close before their residency in the new state is established, so the resulting long-term gain is sourced to and taxed under the prior state's rules — in this case, not taxed by that state at all — rather than being taxed by the new state at its full ordinary rate had the same sale happened even a few weeks later, after the move.</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This window closes the moment residency actually shifts, and residency determinations turn on real, provable facts (where you actually lived, worked, and spent your time), not merely on when a sale was dated — a taxpayer who has already substantially relocated before executing the acceleration risks the new state asserting residency reached back to before the transaction, defeating the entire point of the timing.</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85. Using the Annualized Income Installment Method for Lumpy Income</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  ·  Cross-Entity / General Business</w:t>
      </w:r>
    </w:p>
    <w:p>
      <w:pPr>
        <w:spacing w:after="140" w:line="276"/>
      </w:pPr>
      <w:r>
        <w:rPr>
          <w:rFonts w:ascii="Calibri" w:cs="Calibri" w:eastAsia="Calibri" w:hAnsi="Calibri"/>
          <w:sz w:val="21"/>
          <w:szCs w:val="21"/>
        </w:rPr>
        <w:t xml:space="preserve">The standard underpayment-penalty safe harbor assumes income arrives evenly across the year, requiring roughly equal estimated payments each quarter. A taxpayer or business whose income is genuinely lumpy — a large settlement, bonus, or sale that lands mostly in one quarter — can instead use the annualized income installment method, calculating each quarter's required payment based only on income actually earned through that point in the year, which can eliminate an underpayment penalty that the standard even-quarters method would otherwise impose even though the taxpayer eventually pays the full safe-harbor amount on time.</w:t>
      </w:r>
    </w:p>
    <w:p>
      <w:pPr>
        <w:pStyle w:val="Heading2"/>
        <w:spacing w:after="80" w:before="200"/>
      </w:pPr>
      <w:r>
        <w:rPr>
          <w:rFonts w:ascii="Calibri" w:cs="Calibri" w:eastAsia="Calibri" w:hAnsi="Calibri"/>
          <w:b/>
          <w:bCs/>
          <w:color w:val="2E5496"/>
          <w:sz w:val="24"/>
          <w:szCs w:val="24"/>
        </w:rPr>
        <w:t xml:space="preserve">Why Even-Quarters Math Penalizes Uneven Income</w:t>
      </w:r>
    </w:p>
    <w:p>
      <w:pPr>
        <w:spacing w:after="140" w:line="276"/>
      </w:pPr>
      <w:r>
        <w:rPr>
          <w:rFonts w:ascii="Calibri" w:cs="Calibri" w:eastAsia="Calibri" w:hAnsi="Calibri"/>
          <w:sz w:val="21"/>
          <w:szCs w:val="21"/>
        </w:rPr>
        <w:t xml:space="preserve">The default underpayment-penalty calculation divides the required annual safe-harbor amount (generally the lesser of a percentage of current-year tax or a percentage of prior-year tax) into four equal quarterly installments, and checks whether the taxpayer paid at least that even quarterly share by each due date. This works fine for someone with steady, predictable income throughout the year, but it can generate a penalty for someone whose income is genuinely concentrated later in the year — a business owner whose revenue is seasonal, an individual who receives a large settlement or bonus in the third quarter, or anyone whose income simply does not arrive in four equal chunks — even if that person's total payments by year-end fully satisfy the safe harbor amount.</w:t>
      </w:r>
    </w:p>
    <w:p>
      <w:pPr>
        <w:spacing w:after="140" w:line="276"/>
      </w:pPr>
      <w:r>
        <w:rPr>
          <w:rFonts w:ascii="Calibri" w:cs="Calibri" w:eastAsia="Calibri" w:hAnsi="Calibri"/>
          <w:sz w:val="21"/>
          <w:szCs w:val="21"/>
        </w:rPr>
        <w:t xml:space="preserve">The annualized income installment method fixes this mismatch by calculating each quarter's required payment based on an annualized projection of the income actually earned cumulatively through that quarter, rather than assuming a flat one-quarter of the full year's income has been earned by the first due date. In practical terms, income earned late in the year is not required to have tax paid on it before it was actually received — a taxpayer whose income is genuinely back-loaded can show, quarter by quarter, that the smaller amounts paid earlier in the year already matched the smaller amount of income actually earned by that point, avoiding a penalty on quarters where a flat one-fourth assumption would have overstated what was owed.</w:t>
      </w:r>
    </w:p>
    <w:p>
      <w:pPr>
        <w:spacing w:after="140" w:line="276"/>
      </w:pPr>
      <w:r>
        <w:rPr>
          <w:rFonts w:ascii="Calibri" w:cs="Calibri" w:eastAsia="Calibri" w:hAnsi="Calibri"/>
          <w:sz w:val="21"/>
          <w:szCs w:val="21"/>
        </w:rPr>
        <w:t xml:space="preserve">This method requires an actual calculation, using a specific IRS worksheet, for each quarter — it is not a blanket exemption from the safe-harbor rules, and it generally requires the taxpayer to continue using the annualized method consistently across all quarters within the same year once elected, rather than switching between methods. It also requires reasonably accurate, contemporaneous income figures at each quarter's end, since the calculation depends on cumulative actual income through that specific date, not a rough guess.</w:t>
      </w:r>
    </w:p>
    <w:p>
      <w:pPr>
        <w:pStyle w:val="ListParagraph"/>
        <w:numPr>
          <w:ilvl w:val="0"/>
          <w:numId w:val="2"/>
        </w:numPr>
        <w:spacing w:after="60" w:line="276"/>
      </w:pPr>
      <w:r>
        <w:rPr>
          <w:rFonts w:ascii="Calibri" w:cs="Calibri" w:eastAsia="Calibri" w:hAnsi="Calibri"/>
          <w:sz w:val="21"/>
          <w:szCs w:val="21"/>
        </w:rPr>
        <w:t xml:space="preserve">Use this method specifically when income is genuinely concentrated in one or more particular quarters — a settlement, bonus, sale, or seasonal revenue pattern — rather than for income that happens to vary only modestly quarter to quarter.</w:t>
      </w:r>
    </w:p>
    <w:p>
      <w:pPr>
        <w:pStyle w:val="ListParagraph"/>
        <w:numPr>
          <w:ilvl w:val="0"/>
          <w:numId w:val="2"/>
        </w:numPr>
        <w:spacing w:after="60" w:line="276"/>
      </w:pPr>
      <w:r>
        <w:rPr>
          <w:rFonts w:ascii="Calibri" w:cs="Calibri" w:eastAsia="Calibri" w:hAnsi="Calibri"/>
          <w:sz w:val="21"/>
          <w:szCs w:val="21"/>
        </w:rPr>
        <w:t xml:space="preserve">Calculate each quarter's required payment using the specific annualization worksheet, based on actual cumulative income through that quarter's end, not an assumption of even income throughout the year.</w:t>
      </w:r>
    </w:p>
    <w:p>
      <w:pPr>
        <w:pStyle w:val="ListParagraph"/>
        <w:numPr>
          <w:ilvl w:val="0"/>
          <w:numId w:val="2"/>
        </w:numPr>
        <w:spacing w:after="60" w:line="276"/>
      </w:pPr>
      <w:r>
        <w:rPr>
          <w:rFonts w:ascii="Calibri" w:cs="Calibri" w:eastAsia="Calibri" w:hAnsi="Calibri"/>
          <w:sz w:val="21"/>
          <w:szCs w:val="21"/>
        </w:rPr>
        <w:t xml:space="preserve">Once using the annualized method for a given tax year, apply it consistently across all four quarters of that year rather than mixing it with the standard even-quarters method.</w:t>
      </w:r>
    </w:p>
    <w:p>
      <w:pPr>
        <w:pStyle w:val="ListParagraph"/>
        <w:numPr>
          <w:ilvl w:val="0"/>
          <w:numId w:val="2"/>
        </w:numPr>
        <w:spacing w:after="60" w:line="276"/>
      </w:pPr>
      <w:r>
        <w:rPr>
          <w:rFonts w:ascii="Calibri" w:cs="Calibri" w:eastAsia="Calibri" w:hAnsi="Calibri"/>
          <w:sz w:val="21"/>
          <w:szCs w:val="21"/>
        </w:rPr>
        <w:t xml:space="preserve">Keep the underlying income calculations and worksheets on file, since using this method to avoid a penalty generally requires being able to show the calculation supporting each quarter's payment if the position is questioned.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individual earns $20,000 per quarter in steady wage and investment income for the first two quarters of the year, then closes a business sale in the third quarter generating a $2,000,000 capital gain. Full-year tax liability comes to roughly $520,000. Under the standard even-quarters method, each of the four quarterly payments would need to be $130,000 (one-quarter of $520,000) — including the first two quarters, when the taxpayer's actual cumulative income was only $40,000 and no gain had yet been realized, making a $130,000 payment in April wildly disproportionate to income actually earned by then. Using the annualized income installment method instead, the Q1 and Q2 required payments are calculated only against the annualized $20,000-per-quarter income actually earned through each date — a small fraction of the even-quarters number — with the bulk of the $520,000 liability correctly required only starting in Q3, once the $2,000,000 gain is actually recognized. This avoids an underpayment penalty on the first two quarters that the even-quarters method would otherwise have imposed, even though the taxpayer's full $520,000 liability is still fully paid by the original filing deadline either way — the annualized method changes only the quarterly penalty exposure, not the total tax owed.</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86. Claiming the Excess Social Security Tax Credit With Multiple Employers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w:t>
      </w:r>
    </w:p>
    <w:p>
      <w:pPr>
        <w:spacing w:after="140" w:line="276"/>
      </w:pPr>
      <w:r>
        <w:rPr>
          <w:rFonts w:ascii="Calibri" w:cs="Calibri" w:eastAsia="Calibri" w:hAnsi="Calibri"/>
          <w:sz w:val="21"/>
          <w:szCs w:val="21"/>
        </w:rPr>
        <w:t xml:space="preserve">Social Security tax is only owed on wages up to an annual wage base — but each employer withholds it independently, without any visibility into what an employee's other employers have already withheld. An employee who works for two or more employers in the same year, and whose combined wages from those employers exceed the annual wage base, ends up with more Social Security tax withheld in total than the law actually requires — and that excess is a straightforward, fully refundable credit claimed directly on the individual return.</w:t>
      </w:r>
    </w:p>
    <w:p>
      <w:pPr>
        <w:pStyle w:val="Heading2"/>
        <w:spacing w:after="80" w:before="200"/>
      </w:pPr>
      <w:r>
        <w:rPr>
          <w:rFonts w:ascii="Calibri" w:cs="Calibri" w:eastAsia="Calibri" w:hAnsi="Calibri"/>
          <w:b/>
          <w:bCs/>
          <w:color w:val="2E5496"/>
          <w:sz w:val="24"/>
          <w:szCs w:val="24"/>
        </w:rPr>
        <w:t xml:space="preserve">Why This Happens, and Why It Is Easy to Miss</w:t>
      </w:r>
    </w:p>
    <w:p>
      <w:pPr>
        <w:spacing w:after="140" w:line="276"/>
      </w:pPr>
      <w:r>
        <w:rPr>
          <w:rFonts w:ascii="Calibri" w:cs="Calibri" w:eastAsia="Calibri" w:hAnsi="Calibri"/>
          <w:sz w:val="21"/>
          <w:szCs w:val="21"/>
        </w:rPr>
        <w:t xml:space="preserve">Social Security tax is withheld from wages up to a specific annual wage-base limit — once an employee's wages from a single employer reach that limit, that employer correctly stops withholding for the rest of the year. The problem arises specifically when an employee has two or more employers in the same calendar year, each of which withholds Social Security tax independently based only on the wages that employer itself paid. Neither employer has any way of knowing what the other employer already withheld, so each one withholds up to the full wage base on its own payroll — meaning an employee who changes jobs, holds a second job, or receives severance or transaction-related payments from a second payroll source in the same year that separately restarts Social Security withholding can end up with meaningfully more than the statutory maximum withheld in total.</w:t>
      </w:r>
    </w:p>
    <w:p>
      <w:pPr>
        <w:spacing w:after="140" w:line="276"/>
      </w:pPr>
      <w:r>
        <w:rPr>
          <w:rFonts w:ascii="Calibri" w:cs="Calibri" w:eastAsia="Calibri" w:hAnsi="Calibri"/>
          <w:sz w:val="21"/>
          <w:szCs w:val="21"/>
        </w:rPr>
        <w:t xml:space="preserve">This overage is entirely recoverable — it is not lost, and it does not require going back to either employer to ask for a refund. The excess amount, over the single annual maximum, is claimed directly as a refundable credit on the employee's own individual income tax return, reducing the tax due or increasing the refund dollar for dollar. Because this credit only applies to the employee's own share of Social Security tax (not the employer's matching share, which the employer would need to separately address with the IRS), it is calculated solely from Social Security tax actually withheld from the employee's own wages, as reported on each employer's Form W-2.</w:t>
      </w:r>
    </w:p>
    <w:p>
      <w:pPr>
        <w:spacing w:after="140" w:line="276"/>
      </w:pPr>
      <w:r>
        <w:rPr>
          <w:rFonts w:ascii="Calibri" w:cs="Calibri" w:eastAsia="Calibri" w:hAnsi="Calibri"/>
          <w:sz w:val="21"/>
          <w:szCs w:val="21"/>
        </w:rPr>
        <w:t xml:space="preserve">This is easy to overlook precisely because it depends on a fact — having two or more employers in the same year whose combined wages exceed the wage base — that is not always obvious at tax-preparation time, especially when a second payroll source is something like a severance arrangement, an interim employer during a transition, or a new job that started mid-year without much fanfare. A taxpayer or preparer who is not specifically looking for multiple W-2s with Social Security withholding can simply miss that an excess exists.</w:t>
      </w:r>
    </w:p>
    <w:p>
      <w:pPr>
        <w:pStyle w:val="ListParagraph"/>
        <w:numPr>
          <w:ilvl w:val="0"/>
          <w:numId w:val="2"/>
        </w:numPr>
        <w:spacing w:after="60" w:line="276"/>
      </w:pPr>
      <w:r>
        <w:rPr>
          <w:rFonts w:ascii="Calibri" w:cs="Calibri" w:eastAsia="Calibri" w:hAnsi="Calibri"/>
          <w:sz w:val="21"/>
          <w:szCs w:val="21"/>
        </w:rPr>
        <w:t xml:space="preserve">Check for this credit any year the taxpayer had wages from more than one employer, particularly if a job change, severance arrangement, or a second concurrent position occurred mid-year.</w:t>
      </w:r>
    </w:p>
    <w:p>
      <w:pPr>
        <w:pStyle w:val="ListParagraph"/>
        <w:numPr>
          <w:ilvl w:val="0"/>
          <w:numId w:val="2"/>
        </w:numPr>
        <w:spacing w:after="60" w:line="276"/>
      </w:pPr>
      <w:r>
        <w:rPr>
          <w:rFonts w:ascii="Calibri" w:cs="Calibri" w:eastAsia="Calibri" w:hAnsi="Calibri"/>
          <w:sz w:val="21"/>
          <w:szCs w:val="21"/>
        </w:rPr>
        <w:t xml:space="preserve">Calculate the excess by comparing total Social Security tax withheld across all W-2s for the year against the single annual maximum for that employee — the excess above that maximum is the credit amount.</w:t>
      </w:r>
    </w:p>
    <w:p>
      <w:pPr>
        <w:pStyle w:val="ListParagraph"/>
        <w:numPr>
          <w:ilvl w:val="0"/>
          <w:numId w:val="2"/>
        </w:numPr>
        <w:spacing w:after="60" w:line="276"/>
      </w:pPr>
      <w:r>
        <w:rPr>
          <w:rFonts w:ascii="Calibri" w:cs="Calibri" w:eastAsia="Calibri" w:hAnsi="Calibri"/>
          <w:sz w:val="21"/>
          <w:szCs w:val="21"/>
        </w:rPr>
        <w:t xml:space="preserve">Claim the credit on the appropriate line of the individual return's supporting schedule for this purpose — it is a straightforward dollar-for-dollar refundable credit, not a deduction, and does not require any special election or supporting statement beyond the underlying W-2 documentation.</w:t>
      </w:r>
    </w:p>
    <w:p>
      <w:pPr>
        <w:pStyle w:val="ListParagraph"/>
        <w:numPr>
          <w:ilvl w:val="0"/>
          <w:numId w:val="2"/>
        </w:numPr>
        <w:spacing w:after="60" w:line="276"/>
      </w:pPr>
      <w:r>
        <w:rPr>
          <w:rFonts w:ascii="Calibri" w:cs="Calibri" w:eastAsia="Calibri" w:hAnsi="Calibri"/>
          <w:sz w:val="21"/>
          <w:szCs w:val="21"/>
        </w:rPr>
        <w:t xml:space="preserve">Remember this credit addresses only the employee's own withheld share — if a business believes it over-withheld or over-paid the employer's matching share across multiple related payroll accounts, that is a separate issue to address directly with the IRS, not something recovered through this individual credit.</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employee separates from a longtime employer mid-year, receiving substantial severance and bonus payments with Social Security tax withheld up to the annual wage base by that employer's payroll system. Later in the same year, the employee begins receiving payments from a second, separate payroll source — an interim or new employer — which independently withholds Social Security tax on its own payroll without any way of knowing the wage base was already reached elsewhere. Combined, the two employers withhold well more than the single annual maximum. When preparing the individual return, the excess amount over that maximum is claimed as a straightforward refundable credit, recovering money that would otherwise simply be left with the IRS unclaimed.</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This credit is worth checking specifically whenever a return shows more than one employer's W-2 in the same year — it costs nothing to check, the calculation is mechanical once the W-2s are in hand, and unlike many credits it requires no special qualification beyond the underlying withholding facts themselves.</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87. Separating Non-SSTB Revenue Into a New Entity to Preserve the QBI Deduction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  ·  Partnership / LLC  ·  Schedule C / Sole Proprietor</w:t>
      </w:r>
    </w:p>
    <w:p>
      <w:pPr>
        <w:spacing w:after="140" w:line="276"/>
      </w:pPr>
      <w:r>
        <w:rPr>
          <w:rFonts w:ascii="Calibri" w:cs="Calibri" w:eastAsia="Calibri" w:hAnsi="Calibri"/>
          <w:sz w:val="21"/>
          <w:szCs w:val="21"/>
        </w:rPr>
        <w:t xml:space="preserve">A single business that generates both specified-service-trade-or-business (SSTB) income and genuinely separate, non-SSTB income can find its entire revenue stream tainted as an SSTB — losing the QBI deduction on all of it, including the portion that would otherwise clearly qualify — once the SSTB-type revenue exceeds a narrow threshold within that same entity. Splitting the non-SSTB activity out into a separate, genuinely distinct entity before that threshold is crossed can rescue the QBI deduction on the non-SSTB revenue going forward, but only if the split is real and substantive, not a paper rearrangement of what is functionally still one business.</w:t>
      </w:r>
    </w:p>
    <w:p>
      <w:pPr>
        <w:pStyle w:val="Heading2"/>
        <w:spacing w:after="80" w:before="200"/>
      </w:pPr>
      <w:r>
        <w:rPr>
          <w:rFonts w:ascii="Calibri" w:cs="Calibri" w:eastAsia="Calibri" w:hAnsi="Calibri"/>
          <w:b/>
          <w:bCs/>
          <w:color w:val="2E5496"/>
          <w:sz w:val="24"/>
          <w:szCs w:val="24"/>
        </w:rPr>
        <w:t xml:space="preserve">The 10% Trap, and What a Legitimate Split Actually Requires</w:t>
      </w:r>
    </w:p>
    <w:p>
      <w:pPr>
        <w:spacing w:after="140" w:line="276"/>
      </w:pPr>
      <w:r>
        <w:rPr>
          <w:rFonts w:ascii="Calibri" w:cs="Calibri" w:eastAsia="Calibri" w:hAnsi="Calibri"/>
          <w:sz w:val="21"/>
          <w:szCs w:val="21"/>
        </w:rPr>
        <w:t xml:space="preserve">A single trade or business is treated as an SSTB in its entirety — not just proportionally — if a defined, narrow percentage of its gross receipts (a de minimis threshold, generally around 10% for smaller businesses and a lower percentage for larger ones) comes from providing services or products in a specified service field. This means a single entity that clearly conducts two economically distinct activities — for example, a genuinely non-SSTB activity like education, presentations, product sales, or consulting outside a listed field, alongside a smaller but real SSTB activity like health, legal, or financial services — can find its entire QBI deduction eliminated once the SSTB-type revenue crosses that narrow threshold, even though the SSTB portion is a minority of total revenue and the majority activity, standing alone, would clearly qualify.</w:t>
      </w:r>
    </w:p>
    <w:p>
      <w:pPr>
        <w:spacing w:after="140" w:line="276"/>
      </w:pPr>
      <w:r>
        <w:rPr>
          <w:rFonts w:ascii="Calibri" w:cs="Calibri" w:eastAsia="Calibri" w:hAnsi="Calibri"/>
          <w:sz w:val="21"/>
          <w:szCs w:val="21"/>
        </w:rPr>
        <w:t xml:space="preserve">The available fix is to genuinely separate the non-SSTB activity into its own distinct legal entity before the taint threshold is crossed (or as soon as practical afterward), so that the non-SSTB entity's QBI deduction is computed on its own revenue and its own facts, entirely apart from the SSTB entity's revenue. Once separated, the non-SSTB entity is evaluated independently for QBI purposes — its income is not automatically tainted merely because a related, commonly owned entity happens to conduct an SSTB activity.</w:t>
      </w:r>
    </w:p>
    <w:p>
      <w:pPr>
        <w:spacing w:after="140" w:line="276"/>
      </w:pPr>
      <w:r>
        <w:rPr>
          <w:rFonts w:ascii="Calibri" w:cs="Calibri" w:eastAsia="Calibri" w:hAnsi="Calibri"/>
          <w:sz w:val="21"/>
          <w:szCs w:val="21"/>
        </w:rPr>
        <w:t xml:space="preserve">The regulations specifically anticipate and restrict an artificial version of this move: a business that provides 80% or more of its property or services to a commonly controlled SSTB is itself treated as part of that SSTB regardless of how it is legally organized, and even below that threshold, any portion of a business's revenue that comes from providing property or services to a commonly controlled SSTB can be tainted proportionally. This means the split has to reflect a genuinely separate customer base and genuinely separate operations — a new entity that exists on paper but continues, in substance, to sell almost entirely to or through the original SSTB entity does not accomplish the intended result, and can itself be recharacterized as part of the SSTB.</w:t>
      </w:r>
    </w:p>
    <w:p>
      <w:pPr>
        <w:pStyle w:val="ListParagraph"/>
        <w:numPr>
          <w:ilvl w:val="0"/>
          <w:numId w:val="2"/>
        </w:numPr>
        <w:spacing w:after="60" w:line="276"/>
      </w:pPr>
      <w:r>
        <w:rPr>
          <w:rFonts w:ascii="Calibri" w:cs="Calibri" w:eastAsia="Calibri" w:hAnsi="Calibri"/>
          <w:sz w:val="21"/>
          <w:szCs w:val="21"/>
        </w:rPr>
        <w:t xml:space="preserve">Monitor the SSTB-revenue percentage within a mixed-activity entity continuously, not just at year-end — once the de minimis threshold is crossed for a given year, the entire entity's QBI deduction for that year is affected, and the clock does not reset mid-year.</w:t>
      </w:r>
    </w:p>
    <w:p>
      <w:pPr>
        <w:pStyle w:val="ListParagraph"/>
        <w:numPr>
          <w:ilvl w:val="0"/>
          <w:numId w:val="2"/>
        </w:numPr>
        <w:spacing w:after="60" w:line="276"/>
      </w:pPr>
      <w:r>
        <w:rPr>
          <w:rFonts w:ascii="Calibri" w:cs="Calibri" w:eastAsia="Calibri" w:hAnsi="Calibri"/>
          <w:sz w:val="21"/>
          <w:szCs w:val="21"/>
        </w:rPr>
        <w:t xml:space="preserve">When separating non-SSTB activity into a new entity, confirm the new entity has genuinely distinct operations, customers, and revenue streams from the original SSTB entity — the split needs to reflect real economic separation, not merely a new EIN and a relabeled invoice.</w:t>
      </w:r>
    </w:p>
    <w:p>
      <w:pPr>
        <w:pStyle w:val="ListParagraph"/>
        <w:numPr>
          <w:ilvl w:val="0"/>
          <w:numId w:val="2"/>
        </w:numPr>
        <w:spacing w:after="60" w:line="276"/>
      </w:pPr>
      <w:r>
        <w:rPr>
          <w:rFonts w:ascii="Calibri" w:cs="Calibri" w:eastAsia="Calibri" w:hAnsi="Calibri"/>
          <w:sz w:val="21"/>
          <w:szCs w:val="21"/>
        </w:rPr>
        <w:t xml:space="preserve">Watch the related-party anti-abuse threshold specifically: a new entity that sells 80% or more of its output to the commonly controlled SSTB entity is treated as part of the SSTB regardless of its separate legal form, and smaller percentages of related-party revenue can still taint a proportional share.</w:t>
      </w:r>
    </w:p>
    <w:p>
      <w:pPr>
        <w:pStyle w:val="ListParagraph"/>
        <w:numPr>
          <w:ilvl w:val="0"/>
          <w:numId w:val="2"/>
        </w:numPr>
        <w:spacing w:after="60" w:line="276"/>
      </w:pPr>
      <w:r>
        <w:rPr>
          <w:rFonts w:ascii="Calibri" w:cs="Calibri" w:eastAsia="Calibri" w:hAnsi="Calibri"/>
          <w:sz w:val="21"/>
          <w:szCs w:val="21"/>
        </w:rPr>
        <w:t xml:space="preserve">Act before the taint accumulates further — every additional period the mixed activity continues inside a single entity is another period of lost QBI deduction on revenue that a properly executed split could otherwise have preserved.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single S-corporation generates $1,800,000 from online education and product sales (non-SSTB) and $220,000 from a licensed clinical service (an SSTB) — the clinical revenue is about 10.9% of the entity's $2,020,000 total gross receipts, just over the roughly 10% de minimis threshold for a business this size. Crossing that threshold taints the entire entity as an SSTB, dropping its QBI deduction to zero on all $2,020,000 of income once the owner's taxable income clears the phase-out ceiling — not just on the $220,000 clinical share, but on the much larger $1,800,000 education and product-sales share that would otherwise clearly qualify. At a 20% QBI rate, that is a $360,000 deduction wiped out by a revenue mix that tips just barely over 10%. Splitting the education and product-sales activity into a newly formed, separately operated entity — its own contracts, its own customer relationships, no more than an incidental share of revenue flowing back to the original clinical entity — removes that $1,800,000 of income from the SSTB-tainted entity entirely. The new entity's QBI deduction is then computed on its own facts, restoring the full $360,000 deduction on the non-SSTB revenue going forward, while the original entity's $220,000 clinical income remains correctly at zero QBI above the income ceiling.</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88. A Special Needs Trust to Provide for a Disabled Family Member</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Charitable &amp; Estate</w:t>
      </w:r>
    </w:p>
    <w:p>
      <w:pPr>
        <w:spacing w:after="140" w:line="276"/>
      </w:pPr>
      <w:r>
        <w:rPr>
          <w:rFonts w:ascii="Calibri" w:cs="Calibri" w:eastAsia="Calibri" w:hAnsi="Calibri"/>
          <w:sz w:val="21"/>
          <w:szCs w:val="21"/>
        </w:rPr>
        <w:t xml:space="preserve">A family that wants to leave a meaningful inheritance, or make ongoing gifts, to a disabled family member faces a structural problem: many government benefit programs the disabled person may rely on are means-tested, and a direct gift or bequest in that person's own name can disqualify them from those benefits entirely. A properly drafted special needs trust lets the family provide substantial supplemental support — with no dollar cap on what it can hold, unlike some smaller tax-favored accounts — without the trust assets counting against the beneficiary's own means-tested eligibility, provided the trust is drafted and administered correctly from the outset.</w:t>
      </w:r>
    </w:p>
    <w:p>
      <w:pPr>
        <w:pStyle w:val="Heading2"/>
        <w:spacing w:after="80" w:before="200"/>
      </w:pPr>
      <w:r>
        <w:rPr>
          <w:rFonts w:ascii="Calibri" w:cs="Calibri" w:eastAsia="Calibri" w:hAnsi="Calibri"/>
          <w:b/>
          <w:bCs/>
          <w:color w:val="2E5496"/>
          <w:sz w:val="24"/>
          <w:szCs w:val="24"/>
        </w:rPr>
        <w:t xml:space="preserve">How a Properly Drafted Trust Avoids Disqualifying the Beneficiary</w:t>
      </w:r>
    </w:p>
    <w:p>
      <w:pPr>
        <w:spacing w:after="140" w:line="276"/>
      </w:pPr>
      <w:r>
        <w:rPr>
          <w:rFonts w:ascii="Calibri" w:cs="Calibri" w:eastAsia="Calibri" w:hAnsi="Calibri"/>
          <w:sz w:val="21"/>
          <w:szCs w:val="21"/>
        </w:rPr>
        <w:t xml:space="preserve">Government benefit programs that are means-tested generally require the beneficiary to have very limited personal assets and income to qualify — a threshold low enough that even a modest direct inheritance or a well-meaning family gift, held in the disabled person's own name, can immediately disqualify them from benefits they may depend on for basic care. A special needs trust addresses this by having the trust itself, not the beneficiary personally, own and control the assets: the trustee (a family member, a professional trustee, or both) has discretion to use trust funds for the beneficiary's supplemental needs — things not covered by government benefits, such as additional therapies, specialized equipment, travel, education, or quality-of-life expenses — without ever distributing assets directly and unrestricted to the beneficiary in a way that would count against the means test.</w:t>
      </w:r>
    </w:p>
    <w:p>
      <w:pPr>
        <w:spacing w:after="140" w:line="276"/>
      </w:pPr>
      <w:r>
        <w:rPr>
          <w:rFonts w:ascii="Calibri" w:cs="Calibri" w:eastAsia="Calibri" w:hAnsi="Calibri"/>
          <w:sz w:val="21"/>
          <w:szCs w:val="21"/>
        </w:rPr>
        <w:t xml:space="preserve">The critical drafting requirement is that the beneficiary must never have direct control over the trust assets or an unrestricted right to demand distributions — the trustee's discretion over how and when funds are spent is what keeps the trust's assets from being attributed to the beneficiary for benefit-eligibility purposes. A trust that gives the beneficiary too much direct control, or that makes distributions in a way that functions as unrestricted cash in the beneficiary's hands, can fail to achieve this protection even if it is labeled a special needs trust.</w:t>
      </w:r>
    </w:p>
    <w:p>
      <w:pPr>
        <w:spacing w:after="140" w:line="276"/>
      </w:pPr>
      <w:r>
        <w:rPr>
          <w:rFonts w:ascii="Calibri" w:cs="Calibri" w:eastAsia="Calibri" w:hAnsi="Calibri"/>
          <w:sz w:val="21"/>
          <w:szCs w:val="21"/>
        </w:rPr>
        <w:t xml:space="preserve">Unlike a specialized tax-favored disability savings account, which is a straightforward vehicle with a specific annual contribution limit and a cap on how much it can hold before affecting certain benefits, a special needs trust has no such dollar limit — it can hold substantial family wealth, real estate, investment accounts, or life insurance proceeds, making it the appropriate vehicle for a family's larger, longer-term wealth-transfer intentions for a disabled beneficiary, while the smaller disability savings account often serves as a complementary vehicle for more modest, beneficiary-directed spending within its own limits.</w:t>
      </w:r>
    </w:p>
    <w:p>
      <w:pPr>
        <w:pStyle w:val="ListParagraph"/>
        <w:numPr>
          <w:ilvl w:val="0"/>
          <w:numId w:val="2"/>
        </w:numPr>
        <w:spacing w:after="60" w:line="276"/>
      </w:pPr>
      <w:r>
        <w:rPr>
          <w:rFonts w:ascii="Calibri" w:cs="Calibri" w:eastAsia="Calibri" w:hAnsi="Calibri"/>
          <w:sz w:val="21"/>
          <w:szCs w:val="21"/>
        </w:rPr>
        <w:t xml:space="preserve">Engage an attorney with specific special-needs-trust and disability-benefits experience — this is not a generic estate-planning trust template, and small drafting errors can defeat the entire purpose of protecting the beneficiary's benefit eligibility.</w:t>
      </w:r>
    </w:p>
    <w:p>
      <w:pPr>
        <w:pStyle w:val="ListParagraph"/>
        <w:numPr>
          <w:ilvl w:val="0"/>
          <w:numId w:val="2"/>
        </w:numPr>
        <w:spacing w:after="60" w:line="276"/>
      </w:pPr>
      <w:r>
        <w:rPr>
          <w:rFonts w:ascii="Calibri" w:cs="Calibri" w:eastAsia="Calibri" w:hAnsi="Calibri"/>
          <w:sz w:val="21"/>
          <w:szCs w:val="21"/>
        </w:rPr>
        <w:t xml:space="preserve">Confirm the trustee understands and will exercise genuine discretion over distributions — the trustee's discretion, not the beneficiary's entitlement, is what preserves the trust's protective effect.</w:t>
      </w:r>
    </w:p>
    <w:p>
      <w:pPr>
        <w:pStyle w:val="ListParagraph"/>
        <w:numPr>
          <w:ilvl w:val="0"/>
          <w:numId w:val="2"/>
        </w:numPr>
        <w:spacing w:after="60" w:line="276"/>
      </w:pPr>
      <w:r>
        <w:rPr>
          <w:rFonts w:ascii="Calibri" w:cs="Calibri" w:eastAsia="Calibri" w:hAnsi="Calibri"/>
          <w:sz w:val="21"/>
          <w:szCs w:val="21"/>
        </w:rPr>
        <w:t xml:space="preserve">Coordinate the trust with any smaller disability savings account the family may also be funding, since the two vehicles serve complementary rather than competing purposes and can be used together.</w:t>
      </w:r>
    </w:p>
    <w:p>
      <w:pPr>
        <w:pStyle w:val="ListParagraph"/>
        <w:numPr>
          <w:ilvl w:val="0"/>
          <w:numId w:val="2"/>
        </w:numPr>
        <w:spacing w:after="60" w:line="276"/>
      </w:pPr>
      <w:r>
        <w:rPr>
          <w:rFonts w:ascii="Calibri" w:cs="Calibri" w:eastAsia="Calibri" w:hAnsi="Calibri"/>
          <w:sz w:val="21"/>
          <w:szCs w:val="21"/>
        </w:rPr>
        <w:t xml:space="preserve">Confirm the specific means-tested benefit programs the beneficiary currently relies on or may rely on in the future, and have the trust drafted with those specific programs' rules in mind, since eligibility thresholds and trust treatment can differ somewhat across different benefit programs.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family wants to leave a $1,500,000 inheritance to an adult child with a lifelong disability who relies on means-tested government benefits covering her basic housing and medical care — benefits that would terminate immediately if she received that $1,500,000 directly, since it is many times over the roughly $2,000 asset limit those programs impose. Instead, the family's estate plan directs the full $1,500,000 into a special needs trust rather than to the daughter personally, naming a sibling as co-trustee alongside a professional trust company. Because the daughter has no direct control over the trust and no right to demand distributions — only the trustees' discretion to spend on her behalf — the $1,500,000 is never treated as her own asset for benefit-eligibility purposes, no matter how large the trust grows. Over the following decades, the trustees draw on the trust for supplemental needs the government benefits do not cover — specialized therapy, an accessible vehicle, travel, and enrichment activities — spending perhaps $40,000-$60,000 a year, while her basic care and housing support continue uninterrupted through the government programs the trust was specifically drafted never to disqualify her from. A comparable but far smaller ABLE account, capped at roughly $19,000 in new contributions per year, could not have absorbed a bequest of this size at all — the two vehicles serve genuinely different scales of the same underlying problem.</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89. The Employer-Provided Child Care Credit</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w:t>
      </w:r>
    </w:p>
    <w:p>
      <w:pPr>
        <w:spacing w:after="140" w:line="276"/>
      </w:pPr>
      <w:r>
        <w:rPr>
          <w:rFonts w:ascii="Calibri" w:cs="Calibri" w:eastAsia="Calibri" w:hAnsi="Calibri"/>
          <w:sz w:val="21"/>
          <w:szCs w:val="21"/>
        </w:rPr>
        <w:t xml:space="preserve">A business that builds, acquires, or operates a qualified child-care facility for its employees' children — or that contracts with a third-party child-care provider on its employees' behalf — can claim a federal tax credit covering a substantial share of those costs, on top of any ordinary business-expense deduction. This credit rewards employers for expanding access to child care specifically, rather than simply subsidizing wages generally, and can be a meaningful offset against a real construction or contracting cost the business was already considering for employee-retention reasons.</w:t>
      </w:r>
    </w:p>
    <w:p>
      <w:pPr>
        <w:pStyle w:val="Heading2"/>
        <w:spacing w:after="80" w:before="200"/>
      </w:pPr>
      <w:r>
        <w:rPr>
          <w:rFonts w:ascii="Calibri" w:cs="Calibri" w:eastAsia="Calibri" w:hAnsi="Calibri"/>
          <w:b/>
          <w:bCs/>
          <w:color w:val="2E5496"/>
          <w:sz w:val="24"/>
          <w:szCs w:val="24"/>
        </w:rPr>
        <w:t xml:space="preserve">Two Distinct Paths to Qualify: Building It or Contracting for It</w:t>
      </w:r>
    </w:p>
    <w:p>
      <w:pPr>
        <w:spacing w:after="140" w:line="276"/>
      </w:pPr>
      <w:r>
        <w:rPr>
          <w:rFonts w:ascii="Calibri" w:cs="Calibri" w:eastAsia="Calibri" w:hAnsi="Calibri"/>
          <w:sz w:val="21"/>
          <w:szCs w:val="21"/>
        </w:rPr>
        <w:t xml:space="preserve">This credit is available through two different mechanisms, and a business does not need to operate its own facility to benefit. The first path covers a portion of "qualified child care expenditures" — costs to acquire, construct, rehabilitate, or expand property used as part of a qualified child-care facility, plus operating costs of running that facility (including costs of training providers, scholarship programs for employees, and increased compensation for more highly qualified child-care staff) — generally available up to a defined annual dollar cap. The second path covers a portion of "qualified child care resource and referral expenditures" — amounts paid under a contract with a third-party child-care provider to make care available to the business's own employees, without the business needing to build or operate anything itself.</w:t>
      </w:r>
    </w:p>
    <w:p>
      <w:pPr>
        <w:spacing w:after="140" w:line="276"/>
      </w:pPr>
      <w:r>
        <w:rPr>
          <w:rFonts w:ascii="Calibri" w:cs="Calibri" w:eastAsia="Calibri" w:hAnsi="Calibri"/>
          <w:sz w:val="21"/>
          <w:szCs w:val="21"/>
        </w:rPr>
        <w:t xml:space="preserve">The facility itself, if the business goes that route, must be a "qualified child care facility" meeting specific requirements — principally that its use is not discriminatory in favor of highly compensated employees, and that if the facility is also the business's principal trade or business (that is, it is a commercial child-care operation, not an in-house employee benefit), at least a defined portion of its enrollees must be dependents of the business's own employees. A facility that exists purely to serve the general public as the business's primary commercial activity does not qualify under this credit merely because some customers happen to be employees.</w:t>
      </w:r>
    </w:p>
    <w:p>
      <w:pPr>
        <w:spacing w:after="140" w:line="276"/>
      </w:pPr>
      <w:r>
        <w:rPr>
          <w:rFonts w:ascii="Calibri" w:cs="Calibri" w:eastAsia="Calibri" w:hAnsi="Calibri"/>
          <w:sz w:val="21"/>
          <w:szCs w:val="21"/>
        </w:rPr>
        <w:t xml:space="preserve">Because this credit is calculated as a percentage of actual qualifying costs (subject to the annual cap), it works best when planned into a facility or contracting decision from the start, rather than discovered afterward — a business already planning to build out office or warehouse space, for example, that is also considering an on-site child-care amenity as an employee-retention tool has a natural opportunity to size and structure that spending with this credit specifically in mind.</w:t>
      </w:r>
    </w:p>
    <w:p>
      <w:pPr>
        <w:pStyle w:val="ListParagraph"/>
        <w:numPr>
          <w:ilvl w:val="0"/>
          <w:numId w:val="2"/>
        </w:numPr>
        <w:spacing w:after="60" w:line="276"/>
      </w:pPr>
      <w:r>
        <w:rPr>
          <w:rFonts w:ascii="Calibri" w:cs="Calibri" w:eastAsia="Calibri" w:hAnsi="Calibri"/>
          <w:sz w:val="21"/>
          <w:szCs w:val="21"/>
        </w:rPr>
        <w:t xml:space="preserve">Confirm which path fits the business's actual plans — building or acquiring a facility (the construction/operating-cost path) versus contracting with an existing third-party provider on employees' behalf (the resource-and-referral path) — since the two have different qualifying-expenditure definitions.</w:t>
      </w:r>
    </w:p>
    <w:p>
      <w:pPr>
        <w:pStyle w:val="ListParagraph"/>
        <w:numPr>
          <w:ilvl w:val="0"/>
          <w:numId w:val="2"/>
        </w:numPr>
        <w:spacing w:after="60" w:line="276"/>
      </w:pPr>
      <w:r>
        <w:rPr>
          <w:rFonts w:ascii="Calibri" w:cs="Calibri" w:eastAsia="Calibri" w:hAnsi="Calibri"/>
          <w:sz w:val="21"/>
          <w:szCs w:val="21"/>
        </w:rPr>
        <w:t xml:space="preserve">If pursuing the facility path, confirm the planned facility meets the nondiscrimination requirement and, if it will also serve the general public commercially, the minimum-employee-dependent-enrollment requirement, before committing to the design and cost structure.</w:t>
      </w:r>
    </w:p>
    <w:p>
      <w:pPr>
        <w:pStyle w:val="ListParagraph"/>
        <w:numPr>
          <w:ilvl w:val="0"/>
          <w:numId w:val="2"/>
        </w:numPr>
        <w:spacing w:after="60" w:line="276"/>
      </w:pPr>
      <w:r>
        <w:rPr>
          <w:rFonts w:ascii="Calibri" w:cs="Calibri" w:eastAsia="Calibri" w:hAnsi="Calibri"/>
          <w:sz w:val="21"/>
          <w:szCs w:val="21"/>
        </w:rPr>
        <w:t xml:space="preserve">Track qualifying costs specifically and separately from general facility or contracting costs, since the credit is calculated as a percentage of the qualifying expenditures alone, subject to the annual cap — not against the business's total spending on the broader project.</w:t>
      </w:r>
    </w:p>
    <w:p>
      <w:pPr>
        <w:pStyle w:val="ListParagraph"/>
        <w:numPr>
          <w:ilvl w:val="0"/>
          <w:numId w:val="2"/>
        </w:numPr>
        <w:spacing w:after="60" w:line="276"/>
      </w:pPr>
      <w:r>
        <w:rPr>
          <w:rFonts w:ascii="Calibri" w:cs="Calibri" w:eastAsia="Calibri" w:hAnsi="Calibri"/>
          <w:sz w:val="21"/>
          <w:szCs w:val="21"/>
        </w:rPr>
        <w:t xml:space="preserve">Model this credit into the decision to build or contract for child care access from the earliest planning stage, rather than as an afterthought once costs are already locked in — the credit can meaningfully change the economics of a decision the business may already be weighing for talent-retention reasons.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planning a new office or warehouse buildout is separately considering adding an on-site child-care facility as an employee-retention benefit, given the makeup of its workforce. Rather than treating this purely as an amenity cost, the business plans the facility to meet the nondiscrimination requirement (available to all employees, not just executives) and models the qualifying construction and operating costs against the federal child-care credit's percentage and annual cap. The credit meaningfully offsets the incremental cost of the facility beyond what the business would have spent on the buildout alone, changing the economics of a decision the business was already inclined to make for retention reasons.</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A business that does not want to build or operate a facility at all can still benefit through the resource-and-referral path — contracting with an existing outside provider to make care available to employees is a meaningfully lower-commitment way to access this credit than constructing a dedicated facility.</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90. Net Operating Loss Carryforwards and Why They Don't Reduce Self-Employment Tax</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  ·  Schedule C / Sole Proprietor</w:t>
      </w:r>
    </w:p>
    <w:p>
      <w:pPr>
        <w:spacing w:after="140" w:line="276"/>
      </w:pPr>
      <w:r>
        <w:rPr>
          <w:rFonts w:ascii="Calibri" w:cs="Calibri" w:eastAsia="Calibri" w:hAnsi="Calibri"/>
          <w:sz w:val="21"/>
          <w:szCs w:val="21"/>
        </w:rPr>
        <w:t xml:space="preserve">A business or self-employed individual with a loss year generally does not simply lose that loss — it carries forward as a net operating loss (NOL) that can shelter a meaningful share of future years' taxable income, indefinitely, until fully used. But an NOL carryforward is subject to an important limitation on how much income it can shelter in any single year, and — critically for a self-employed taxpayer — it reduces only regular income tax, never self-employment tax, which means a profitable year can still carry a substantial tax bill even while a large NOL sits unused on the books.</w:t>
      </w:r>
    </w:p>
    <w:p>
      <w:pPr>
        <w:pStyle w:val="Heading2"/>
        <w:spacing w:after="80" w:before="200"/>
      </w:pPr>
      <w:r>
        <w:rPr>
          <w:rFonts w:ascii="Calibri" w:cs="Calibri" w:eastAsia="Calibri" w:hAnsi="Calibri"/>
          <w:b/>
          <w:bCs/>
          <w:color w:val="2E5496"/>
          <w:sz w:val="24"/>
          <w:szCs w:val="24"/>
        </w:rPr>
        <w:t xml:space="preserve">What an NOL Actually Shelters, and What It Cannot Touch</w:t>
      </w:r>
    </w:p>
    <w:p>
      <w:pPr>
        <w:spacing w:after="140" w:line="276"/>
      </w:pPr>
      <w:r>
        <w:rPr>
          <w:rFonts w:ascii="Calibri" w:cs="Calibri" w:eastAsia="Calibri" w:hAnsi="Calibri"/>
          <w:sz w:val="21"/>
          <w:szCs w:val="21"/>
        </w:rPr>
        <w:t xml:space="preserve">When deductible business losses exceed income in a given year, the excess generally becomes a net operating loss that carries forward to offset taxable income in future profitable years, with no expiration — it remains available until it is fully absorbed, no matter how many years that takes. This makes an NOL a genuinely durable planning asset: a taxpayer sitting on a large NOL from a prior loss year has real, ongoing tax-shelter capacity for future profit, without needing to generate new deductions each year to manage taxable income.</w:t>
      </w:r>
    </w:p>
    <w:p>
      <w:pPr>
        <w:spacing w:after="140" w:line="276"/>
      </w:pPr>
      <w:r>
        <w:rPr>
          <w:rFonts w:ascii="Calibri" w:cs="Calibri" w:eastAsia="Calibri" w:hAnsi="Calibri"/>
          <w:sz w:val="21"/>
          <w:szCs w:val="21"/>
        </w:rPr>
        <w:t xml:space="preserve">The limitation to understand is that an NOL carryforward can generally offset only up to a defined percentage (80%) of taxable income in the year it is used, computed before the NOL deduction itself — it cannot reduce taxable income all the way to zero in a single very profitable year, even if the available NOL balance is large enough to do so mathematically. This means a taxpayer with a large NOL and an unusually large profit year will still owe some regular income tax on the un-shelterable 20%, and the un-used portion of the NOL simply carries forward again to future years.</w:t>
      </w:r>
    </w:p>
    <w:p>
      <w:pPr>
        <w:spacing w:after="140" w:line="276"/>
      </w:pPr>
      <w:r>
        <w:rPr>
          <w:rFonts w:ascii="Calibri" w:cs="Calibri" w:eastAsia="Calibri" w:hAnsi="Calibri"/>
          <w:sz w:val="21"/>
          <w:szCs w:val="21"/>
        </w:rPr>
        <w:t xml:space="preserve">The more commonly overlooked limitation, especially for a self-employed individual or a pass-through business owner, is that an NOL deduction reduces regular income tax only — it has no effect whatsoever on self-employment tax, which is computed separately on net self-employment earnings. A sole proprietor or partner with substantial self-employment income and a large NOL carryforward can find that their income-tax bill is meaningfully reduced or eliminated by the NOL, while their self-employment tax liability remains fully intact and due in full — a result that surprises taxpayers who assume a large NOL balance means a low total tax bill across the board.</w:t>
      </w:r>
    </w:p>
    <w:p>
      <w:pPr>
        <w:pStyle w:val="ListParagraph"/>
        <w:numPr>
          <w:ilvl w:val="0"/>
          <w:numId w:val="2"/>
        </w:numPr>
        <w:spacing w:after="60" w:line="276"/>
      </w:pPr>
      <w:r>
        <w:rPr>
          <w:rFonts w:ascii="Calibri" w:cs="Calibri" w:eastAsia="Calibri" w:hAnsi="Calibri"/>
          <w:sz w:val="21"/>
          <w:szCs w:val="21"/>
        </w:rPr>
        <w:t xml:space="preserve">Track the NOL carryforward balance precisely, including which year each layer originated in, since it is a durable, indefinite asset that should be reflected in every multi-year tax projection rather than assumed to expire or disappear.</w:t>
      </w:r>
    </w:p>
    <w:p>
      <w:pPr>
        <w:pStyle w:val="ListParagraph"/>
        <w:numPr>
          <w:ilvl w:val="0"/>
          <w:numId w:val="2"/>
        </w:numPr>
        <w:spacing w:after="60" w:line="276"/>
      </w:pPr>
      <w:r>
        <w:rPr>
          <w:rFonts w:ascii="Calibri" w:cs="Calibri" w:eastAsia="Calibri" w:hAnsi="Calibri"/>
          <w:sz w:val="21"/>
          <w:szCs w:val="21"/>
        </w:rPr>
        <w:t xml:space="preserve">Remember the 80%-of-taxable-income limitation when projecting a profitable year against a large NOL balance — plan for some regular income tax to be due even in a year with ample NOL available, and expect the unused remainder to carry forward again.</w:t>
      </w:r>
    </w:p>
    <w:p>
      <w:pPr>
        <w:pStyle w:val="ListParagraph"/>
        <w:numPr>
          <w:ilvl w:val="0"/>
          <w:numId w:val="2"/>
        </w:numPr>
        <w:spacing w:after="60" w:line="276"/>
      </w:pPr>
      <w:r>
        <w:rPr>
          <w:rFonts w:ascii="Calibri" w:cs="Calibri" w:eastAsia="Calibri" w:hAnsi="Calibri"/>
          <w:sz w:val="21"/>
          <w:szCs w:val="21"/>
        </w:rPr>
        <w:t xml:space="preserve">Separately calculate self-employment tax exposure in any projection involving an NOL — a large NOL can make the income-tax line look deceptively small while self-employment tax on the same profitable year remains fully due.</w:t>
      </w:r>
    </w:p>
    <w:p>
      <w:pPr>
        <w:pStyle w:val="ListParagraph"/>
        <w:numPr>
          <w:ilvl w:val="0"/>
          <w:numId w:val="2"/>
        </w:numPr>
        <w:spacing w:after="60" w:line="276"/>
      </w:pPr>
      <w:r>
        <w:rPr>
          <w:rFonts w:ascii="Calibri" w:cs="Calibri" w:eastAsia="Calibri" w:hAnsi="Calibri"/>
          <w:sz w:val="21"/>
          <w:szCs w:val="21"/>
        </w:rPr>
        <w:t xml:space="preserve">Resist manufacturing new deductions to reduce taxable income further in a year already well-sheltered by an existing NOL — spending cash to create a deduction that the NOL would have absorbed anyway is spending money for no incremental income-tax benefit, and does nothing at all for the self-employment tax that the new deduction may also fail to touch.</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self-employed business owner who had several loss years earlier built up a substantial net operating loss carryforward. In a year the business finally turns solidly profitable, the owner assumes the large NOL balance means little or no tax will be due. The NOL does reduce regular income tax significantly — though not entirely, because it can only offset up to the applicable percentage of that year's taxable income, leaving a modest income-tax bill on the remainder. More surprising to the owner is that self-employment tax on the year's full net self-employment earnings is due in its entirety, completely unaffected by the NOL — resulting in a real tax bill for a year the owner had assumed would be essentially tax-free because of the carryforward sitting on the books.</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This is one of the more common misunderstandings among self-employed taxpayers carrying a large NOL — the carryforward is a genuinely valuable asset, but it is an income-tax asset only, and treating it as though it also shelters self-employment tax leads directly to an underestimated liability and, potentially, an avoidable underpayment penalty if estimated payments are set without accounting for the SE-tax portion.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91. Filing a Superseding Return Instead of an Amended Return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  ·  IRS Compliance &amp; Risk Management</w:t>
      </w:r>
    </w:p>
    <w:p>
      <w:pPr>
        <w:spacing w:after="140" w:line="276"/>
      </w:pPr>
      <w:r>
        <w:rPr>
          <w:rFonts w:ascii="Calibri" w:cs="Calibri" w:eastAsia="Calibri" w:hAnsi="Calibri"/>
          <w:sz w:val="21"/>
          <w:szCs w:val="21"/>
        </w:rPr>
        <w:t xml:space="preserve">A business or individual that discovers an error or an omitted deduction after already filing a return — but before that return's extended due date has passed — does not have to file a formal amended return to fix it. A "superseding return" filed within the original extension window simply replaces the earlier filing entirely, as though the first version had never been submitted, and is generally treated more cleanly by the IRS than an amendment filed after the deadline.</w:t>
      </w:r>
    </w:p>
    <w:p>
      <w:pPr>
        <w:pStyle w:val="Heading2"/>
        <w:spacing w:after="80" w:before="200"/>
      </w:pPr>
      <w:r>
        <w:rPr>
          <w:rFonts w:ascii="Calibri" w:cs="Calibri" w:eastAsia="Calibri" w:hAnsi="Calibri"/>
          <w:b/>
          <w:bCs/>
          <w:color w:val="2E5496"/>
          <w:sz w:val="24"/>
          <w:szCs w:val="24"/>
        </w:rPr>
        <w:t xml:space="preserve">Why Timing the Correction Before the Extended Deadline Matters</w:t>
      </w:r>
    </w:p>
    <w:p>
      <w:pPr>
        <w:spacing w:after="140" w:line="276"/>
      </w:pPr>
      <w:r>
        <w:rPr>
          <w:rFonts w:ascii="Calibri" w:cs="Calibri" w:eastAsia="Calibri" w:hAnsi="Calibri"/>
          <w:sz w:val="21"/>
          <w:szCs w:val="21"/>
        </w:rPr>
        <w:t xml:space="preserve">When a taxpayer requests and receives an extension of time to file, the extended due date is the actual deadline for the return, not the original one — a return filed early, before that extended deadline, and then corrected again before the same extended deadline passes, can be replaced outright by the corrected version. This corrected version is called a superseding return, and it supersedes the earlier filing for all purposes: it is the return, not a modification of one that came before it.</w:t>
      </w:r>
    </w:p>
    <w:p>
      <w:pPr>
        <w:spacing w:after="140" w:line="276"/>
      </w:pPr>
      <w:r>
        <w:rPr>
          <w:rFonts w:ascii="Calibri" w:cs="Calibri" w:eastAsia="Calibri" w:hAnsi="Calibri"/>
          <w:sz w:val="21"/>
          <w:szCs w:val="21"/>
        </w:rPr>
        <w:t xml:space="preserve">This differs meaningfully from an amended return, which is the correction mechanism used once the original or extended due date has already passed — an amended return does not replace the original; it sits alongside it as a formal correction to a return that remains, on its own terms, the taxpayer's filed position for that year. Amended returns can take longer to process, can draw more scrutiny precisely because they are corrections to an already-final filing, and in some cases have more limited ability to change certain elections that needed to be made by the original due date.</w:t>
      </w:r>
    </w:p>
    <w:p>
      <w:pPr>
        <w:spacing w:after="140" w:line="276"/>
      </w:pPr>
      <w:r>
        <w:rPr>
          <w:rFonts w:ascii="Calibri" w:cs="Calibri" w:eastAsia="Calibri" w:hAnsi="Calibri"/>
          <w:sz w:val="21"/>
          <w:szCs w:val="21"/>
        </w:rPr>
        <w:t xml:space="preserve">The planning implication is straightforward: if a business or individual files early — well before an extension deadline — and then discovers an omitted deduction, a missing election, or a computational error, checking whether the extended due date has already passed is the first question to ask. If it has not, filing a clean superseding return is very often the simpler, faster, and less scrutiny-prone path to fixing the issue, compared to waiting and filing a formal amendment after the deadline.</w:t>
      </w:r>
    </w:p>
    <w:p>
      <w:pPr>
        <w:pStyle w:val="ListParagraph"/>
        <w:numPr>
          <w:ilvl w:val="0"/>
          <w:numId w:val="2"/>
        </w:numPr>
        <w:spacing w:after="60" w:line="276"/>
      </w:pPr>
      <w:r>
        <w:rPr>
          <w:rFonts w:ascii="Calibri" w:cs="Calibri" w:eastAsia="Calibri" w:hAnsi="Calibri"/>
          <w:sz w:val="21"/>
          <w:szCs w:val="21"/>
        </w:rPr>
        <w:t xml:space="preserve">Confirm the extended due date for the specific return type and tax year before deciding how to correct an error — the superseding-return option is only available while that extended deadline has not yet passed.</w:t>
      </w:r>
    </w:p>
    <w:p>
      <w:pPr>
        <w:pStyle w:val="ListParagraph"/>
        <w:numPr>
          <w:ilvl w:val="0"/>
          <w:numId w:val="2"/>
        </w:numPr>
        <w:spacing w:after="60" w:line="276"/>
      </w:pPr>
      <w:r>
        <w:rPr>
          <w:rFonts w:ascii="Calibri" w:cs="Calibri" w:eastAsia="Calibri" w:hAnsi="Calibri"/>
          <w:sz w:val="21"/>
          <w:szCs w:val="21"/>
        </w:rPr>
        <w:t xml:space="preserve">Treat a superseding return as a full, clean replacement of the original — it should be prepared as a complete, correct return in its own right, not as a marked-up version showing only the changes (that presentation is what an amended return does instead).</w:t>
      </w:r>
    </w:p>
    <w:p>
      <w:pPr>
        <w:pStyle w:val="ListParagraph"/>
        <w:numPr>
          <w:ilvl w:val="0"/>
          <w:numId w:val="2"/>
        </w:numPr>
        <w:spacing w:after="60" w:line="276"/>
      </w:pPr>
      <w:r>
        <w:rPr>
          <w:rFonts w:ascii="Calibri" w:cs="Calibri" w:eastAsia="Calibri" w:hAnsi="Calibri"/>
          <w:sz w:val="21"/>
          <w:szCs w:val="21"/>
        </w:rPr>
        <w:t xml:space="preserve">Where the correction involves a material dollar item — an omitted deduction, a missing election, or a significant income adjustment — moving quickly once the issue is discovered preserves the option, since the superseding-return window closes automatically once the extended deadline passes.</w:t>
      </w:r>
    </w:p>
    <w:p>
      <w:pPr>
        <w:pStyle w:val="ListParagraph"/>
        <w:numPr>
          <w:ilvl w:val="0"/>
          <w:numId w:val="2"/>
        </w:numPr>
        <w:spacing w:after="60" w:line="276"/>
      </w:pPr>
      <w:r>
        <w:rPr>
          <w:rFonts w:ascii="Calibri" w:cs="Calibri" w:eastAsia="Calibri" w:hAnsi="Calibri"/>
          <w:sz w:val="21"/>
          <w:szCs w:val="21"/>
        </w:rPr>
        <w:t xml:space="preserve">Keep clear documentation of why the correction was needed and when it was discovered, even though a superseding return itself requires no special disclosure — this internal record is useful if the return is ever questioned later.</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files its extended entity return in early spring, well ahead of the extended September deadline. Several months later, but still before that extended deadline, the business discovers that a substantial retirement-plan contribution funded earlier in the year was never reflected as a deduction on the filed return. Because the extended due date has not yet passed, the business's preparer files a corrected, complete superseding return that includes the missing deduction, replacing the earlier filing outright — a cleaner and faster fix than waiting for the deadline to pass and then filing a formal amended return for the same correction.</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This option is easy to overlook simply because "amended return" is the far more familiar term — a taxpayer or preparer who defaults to thinking in terms of amendments may not realize a much simpler superseding filing is available, purely because the extended deadline for that specific return has not yet arrived.</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92. The §267 Related-Party Timing Rule and Retroactive Wage Deductions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  ·  IRS Compliance &amp; Risk Management</w:t>
      </w:r>
    </w:p>
    <w:p>
      <w:pPr>
        <w:spacing w:after="140" w:line="276"/>
      </w:pPr>
      <w:r>
        <w:rPr>
          <w:rFonts w:ascii="Calibri" w:cs="Calibri" w:eastAsia="Calibri" w:hAnsi="Calibri"/>
          <w:sz w:val="21"/>
          <w:szCs w:val="21"/>
        </w:rPr>
        <w:t xml:space="preserve">A business owner who discovers, after a tax year has already ended, that they should have been paying themselves W-2 wages during that year cannot simply create those wages retroactively and deduct them on the closed year's return. A specific related-party timing rule permanently defers the deduction for compensation owed to a more-than-50%-related shareholder or partner until the year the compensation is actually paid — meaning a wage never actually paid during the year it supposedly covers generates no deduction for that year at all, no matter how the paperwork is later structured.</w:t>
      </w:r>
    </w:p>
    <w:p>
      <w:pPr>
        <w:pStyle w:val="Heading2"/>
        <w:spacing w:after="80" w:before="200"/>
      </w:pPr>
      <w:r>
        <w:rPr>
          <w:rFonts w:ascii="Calibri" w:cs="Calibri" w:eastAsia="Calibri" w:hAnsi="Calibri"/>
          <w:b/>
          <w:bCs/>
          <w:color w:val="2E5496"/>
          <w:sz w:val="24"/>
          <w:szCs w:val="24"/>
        </w:rPr>
        <w:t xml:space="preserve">Why "Actually Paid" Is the Entire Test</w:t>
      </w:r>
    </w:p>
    <w:p>
      <w:pPr>
        <w:spacing w:after="140" w:line="276"/>
      </w:pPr>
      <w:r>
        <w:rPr>
          <w:rFonts w:ascii="Calibri" w:cs="Calibri" w:eastAsia="Calibri" w:hAnsi="Calibri"/>
          <w:sz w:val="21"/>
          <w:szCs w:val="21"/>
        </w:rPr>
        <w:t xml:space="preserve">Ordinarily, a business using the accrual method can deduct an expense in the year it becomes fixed and determinable, even if actual payment happens somewhat later. This general rule is overridden for payments owed to certain related parties — most relevantly, a shareholder who owns more than 50% of a corporation's stock, or an analogous relationship for a partnership — where the deduction is not allowed until the year the related party actually receives (and must include in income) the payment. For a cash-basis individual owner, that means the corresponding deduction to the business cannot be taken any earlier than the calendar year the cash actually reaches the owner's hands.</w:t>
      </w:r>
    </w:p>
    <w:p>
      <w:pPr>
        <w:spacing w:after="140" w:line="276"/>
      </w:pPr>
      <w:r>
        <w:rPr>
          <w:rFonts w:ascii="Calibri" w:cs="Calibri" w:eastAsia="Calibri" w:hAnsi="Calibri"/>
          <w:sz w:val="21"/>
          <w:szCs w:val="21"/>
        </w:rPr>
        <w:t xml:space="preserve">This creates a hard, factual gate on any plan to "clean up" a prior year by retroactively establishing W-2 wages for an owner-employee: the deduction follows the payment, not the paperwork. If no cash compensation was actually paid to the owner during the year in question, issuing wage statements for that year after the fact does not create a deduction for that year — it creates a reporting problem, since the wage documents would represent compensation that was never in fact paid when they claim it was.</w:t>
      </w:r>
    </w:p>
    <w:p>
      <w:pPr>
        <w:spacing w:after="140" w:line="276"/>
      </w:pPr>
      <w:r>
        <w:rPr>
          <w:rFonts w:ascii="Calibri" w:cs="Calibri" w:eastAsia="Calibri" w:hAnsi="Calibri"/>
          <w:sz w:val="21"/>
          <w:szCs w:val="21"/>
        </w:rPr>
        <w:t xml:space="preserve">This timing gate has a second, easily overlooked consequence beyond the deduction itself: a retirement-plan contribution for a shareholder-employee (whether an elective deferral or an employer contribution) requires actual plan compensation paid to that person during the plan year. If no wages were actually paid to the owner during a given year, there is no plan compensation for that year, and no retirement contribution can be attributed to that year for that person, regardless of how much cash the business otherwise had on hand or distributed during the year.</w:t>
      </w:r>
    </w:p>
    <w:p>
      <w:pPr>
        <w:pStyle w:val="ListParagraph"/>
        <w:numPr>
          <w:ilvl w:val="0"/>
          <w:numId w:val="2"/>
        </w:numPr>
        <w:spacing w:after="60" w:line="276"/>
      </w:pPr>
      <w:r>
        <w:rPr>
          <w:rFonts w:ascii="Calibri" w:cs="Calibri" w:eastAsia="Calibri" w:hAnsi="Calibri"/>
          <w:sz w:val="21"/>
          <w:szCs w:val="21"/>
        </w:rPr>
        <w:t xml:space="preserve">Before planning to "fix" a prior year's missing payroll retroactively, establish as a hard factual question whether any cash compensation was actually paid to the owner during that year — the answer to this single question determines whether a deduction (and any related retirement-plan contribution) is available for that year at all.</w:t>
      </w:r>
    </w:p>
    <w:p>
      <w:pPr>
        <w:pStyle w:val="ListParagraph"/>
        <w:numPr>
          <w:ilvl w:val="0"/>
          <w:numId w:val="2"/>
        </w:numPr>
        <w:spacing w:after="60" w:line="276"/>
      </w:pPr>
      <w:r>
        <w:rPr>
          <w:rFonts w:ascii="Calibri" w:cs="Calibri" w:eastAsia="Calibri" w:hAnsi="Calibri"/>
          <w:sz w:val="21"/>
          <w:szCs w:val="21"/>
        </w:rPr>
        <w:t xml:space="preserve">If no compensation was actually paid, treat the prior year as a compliance clean-up matter (confirming what, if anything, was actually filed) rather than as a planning opportunity to manufacture a deduction that does not legally exist.</w:t>
      </w:r>
    </w:p>
    <w:p>
      <w:pPr>
        <w:pStyle w:val="ListParagraph"/>
        <w:numPr>
          <w:ilvl w:val="0"/>
          <w:numId w:val="2"/>
        </w:numPr>
        <w:spacing w:after="60" w:line="276"/>
      </w:pPr>
      <w:r>
        <w:rPr>
          <w:rFonts w:ascii="Calibri" w:cs="Calibri" w:eastAsia="Calibri" w:hAnsi="Calibri"/>
          <w:sz w:val="21"/>
          <w:szCs w:val="21"/>
        </w:rPr>
        <w:t xml:space="preserve">Recognize that this rule is entity-and-relationship specific — it applies based on more-than-50% ownership and related family attribution rules, so confirm the exact ownership percentage and relationship before assuming the rule applies (or does not) to a specific payment.</w:t>
      </w:r>
    </w:p>
    <w:p>
      <w:pPr>
        <w:pStyle w:val="ListParagraph"/>
        <w:numPr>
          <w:ilvl w:val="0"/>
          <w:numId w:val="2"/>
        </w:numPr>
        <w:spacing w:after="60" w:line="276"/>
      </w:pPr>
      <w:r>
        <w:rPr>
          <w:rFonts w:ascii="Calibri" w:cs="Calibri" w:eastAsia="Calibri" w:hAnsi="Calibri"/>
          <w:sz w:val="21"/>
          <w:szCs w:val="21"/>
        </w:rPr>
        <w:t xml:space="preserve">Going forward, run payroll contemporaneously rather than retroactively for any majority owner-employee — this rule makes clear that fixing a missed payroll year after the fact, once the year has closed, is far more limited than simply running it correctly as the year unfolds.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S-corporation's sole shareholder realizes in March, after the prior tax year has already closed, that no W-2 wages were ever run for him during that year — despite $600,000 of profit having been distributed to him as if it were entirely tax-favored distribution income. His accountant explores simply running a retroactive $150,000 wage for the prior year, which would generate a $150,000 deduction to the corporation and support a $37,500 SEP-style retirement contribution for that year. Both ideas fail on the same fact: because he owns more than 50% of the corporation, § 267(a)(2) does not allow the wage deduction until the year cash actually reaches him — and no cash was actually paid to him as wages during the prior year, only as distributions. Issuing a W-2 dated for the closed year, with no corresponding cash payment having occurred in that year, would not create a valid deduction; it would create a W-2 that misstates when compensation was paid. The $150,000 deduction and the $37,500 retirement contribution are both unavailable for the closed year — full stop, no paperwork fix exists — and the business instead corrects its payroll going forward, running an actual, contemporaneous wage for the current year so the same mistake does not repeat.</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93. Controlled Group and Affiliated Service Group Rules for Multi-Entity Retirement Plans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Retirement Planning  ·  Cross-Entity / General Business</w:t>
      </w:r>
    </w:p>
    <w:p>
      <w:pPr>
        <w:spacing w:after="140" w:line="276"/>
      </w:pPr>
      <w:r>
        <w:rPr>
          <w:rFonts w:ascii="Calibri" w:cs="Calibri" w:eastAsia="Calibri" w:hAnsi="Calibri"/>
          <w:sz w:val="21"/>
          <w:szCs w:val="21"/>
        </w:rPr>
        <w:t xml:space="preserve">A business owner who also holds interests in one or more other businesses cannot simply design a retirement plan around the one entity that employs the fewest people. Two separate sets of federal rules — the controlled-group rules and the affiliated-service-group rules — can force related businesses to be treated as a single employer for retirement-plan coverage and nondiscrimination testing purposes, meaning an "owner-only" plan design at one entity can unexpectedly have to cover employees at an entirely different, commonly related business.</w:t>
      </w:r>
    </w:p>
    <w:p>
      <w:pPr>
        <w:pStyle w:val="Heading2"/>
        <w:spacing w:after="80" w:before="200"/>
      </w:pPr>
      <w:r>
        <w:rPr>
          <w:rFonts w:ascii="Calibri" w:cs="Calibri" w:eastAsia="Calibri" w:hAnsi="Calibri"/>
          <w:b/>
          <w:bCs/>
          <w:color w:val="2E5496"/>
          <w:sz w:val="24"/>
          <w:szCs w:val="24"/>
        </w:rPr>
        <w:t xml:space="preserve">Two Independent Tests, Either One of Which Can Force Aggregation</w:t>
      </w:r>
    </w:p>
    <w:p>
      <w:pPr>
        <w:spacing w:after="140" w:line="276"/>
      </w:pPr>
      <w:r>
        <w:rPr>
          <w:rFonts w:ascii="Calibri" w:cs="Calibri" w:eastAsia="Calibri" w:hAnsi="Calibri"/>
          <w:sz w:val="21"/>
          <w:szCs w:val="21"/>
        </w:rPr>
        <w:t xml:space="preserve">The controlled-group rules aggregate businesses under common ownership using specific mathematical thresholds — generally requiring that the same five or fewer people own more than 80% of each business, with more than 50% identical ownership across the businesses being tested. Family attribution rules can pull a spouse's or a minor child's ownership into an individual's own ownership percentage for this test, though attribution to or from other relatives (parents, adult children, siblings, in-laws) follows its own more limited rules and does not automatically combine every family member's interests. Two businesses can look completely unrelated on paper and still fail this test once the right ownership percentages and attribution rules are applied — and, just as importantly, two businesses that do look related can sometimes clear the test if the ownership percentages fall just outside the thresholds.</w:t>
      </w:r>
    </w:p>
    <w:p>
      <w:pPr>
        <w:spacing w:after="140" w:line="276"/>
      </w:pPr>
      <w:r>
        <w:rPr>
          <w:rFonts w:ascii="Calibri" w:cs="Calibri" w:eastAsia="Calibri" w:hAnsi="Calibri"/>
          <w:sz w:val="21"/>
          <w:szCs w:val="21"/>
        </w:rPr>
        <w:t xml:space="preserve">Entirely independent of ownership percentages, the affiliated-service-group rules can aggregate businesses based on how they actually operate — whether they are service-integrated, regularly perform services for one another, share staff or resources, or were historically structured (whether or not intentionally) to carve up what is functionally a single service business into multiple entities. A business owner can pass the controlled-group ownership test cleanly and still trigger this second, operational test based purely on how the businesses function day to day — shared employees, shared office space, cross-referrals, or one entity's work feeding directly into the other's.</w:t>
      </w:r>
    </w:p>
    <w:p>
      <w:pPr>
        <w:spacing w:after="140" w:line="276"/>
      </w:pPr>
      <w:r>
        <w:rPr>
          <w:rFonts w:ascii="Calibri" w:cs="Calibri" w:eastAsia="Calibri" w:hAnsi="Calibri"/>
          <w:sz w:val="21"/>
          <w:szCs w:val="21"/>
        </w:rPr>
        <w:t xml:space="preserve">The consequence of either test being triggered is the same: the businesses must be treated as a single employer for qualified retirement plan purposes, meaning the plan's coverage and nondiscrimination testing must count the employees of every aggregated entity, not just the one adopting the plan. An "owner-only" 401(k) or cash-balance plan design, premised on a small handful of employees at a single entity, can collapse entirely if a commonly controlled or service-integrated business elsewhere brings dozens of additional employees into the required coverage count.</w:t>
      </w:r>
    </w:p>
    <w:p>
      <w:pPr>
        <w:pStyle w:val="ListParagraph"/>
        <w:numPr>
          <w:ilvl w:val="0"/>
          <w:numId w:val="2"/>
        </w:numPr>
        <w:spacing w:after="60" w:line="276"/>
      </w:pPr>
      <w:r>
        <w:rPr>
          <w:rFonts w:ascii="Calibri" w:cs="Calibri" w:eastAsia="Calibri" w:hAnsi="Calibri"/>
          <w:sz w:val="21"/>
          <w:szCs w:val="21"/>
        </w:rPr>
        <w:t xml:space="preserve">Map every business interest the plan's owner (and any close family members) hold, however small, before finalizing a retirement-plan design — an incomplete ownership map produces a controlled-group analysis that is not actually protective, since a missed entity can be exactly the one that changes the answer.</w:t>
      </w:r>
    </w:p>
    <w:p>
      <w:pPr>
        <w:pStyle w:val="ListParagraph"/>
        <w:numPr>
          <w:ilvl w:val="0"/>
          <w:numId w:val="2"/>
        </w:numPr>
        <w:spacing w:after="60" w:line="276"/>
      </w:pPr>
      <w:r>
        <w:rPr>
          <w:rFonts w:ascii="Calibri" w:cs="Calibri" w:eastAsia="Calibri" w:hAnsi="Calibri"/>
          <w:sz w:val="21"/>
          <w:szCs w:val="21"/>
        </w:rPr>
        <w:t xml:space="preserve">Evaluate the controlled-group ownership test and the affiliated-service-group operational test as two separate, independent questions — clearing one does not clear the other, and both must be checked before adopting an owner-only plan design.</w:t>
      </w:r>
    </w:p>
    <w:p>
      <w:pPr>
        <w:pStyle w:val="ListParagraph"/>
        <w:numPr>
          <w:ilvl w:val="0"/>
          <w:numId w:val="2"/>
        </w:numPr>
        <w:spacing w:after="60" w:line="276"/>
      </w:pPr>
      <w:r>
        <w:rPr>
          <w:rFonts w:ascii="Calibri" w:cs="Calibri" w:eastAsia="Calibri" w:hAnsi="Calibri"/>
          <w:sz w:val="21"/>
          <w:szCs w:val="21"/>
        </w:rPr>
        <w:t xml:space="preserve">Answer the operational questions honestly and specifically — do the businesses share employees, office space, equipment, or systems, and does either refer business to or perform services for the other — since this is exactly what the affiliated-service-group test turns on, and it is a factual question only the business owner can answer.</w:t>
      </w:r>
    </w:p>
    <w:p>
      <w:pPr>
        <w:pStyle w:val="ListParagraph"/>
        <w:numPr>
          <w:ilvl w:val="0"/>
          <w:numId w:val="2"/>
        </w:numPr>
        <w:spacing w:after="60" w:line="276"/>
      </w:pPr>
      <w:r>
        <w:rPr>
          <w:rFonts w:ascii="Calibri" w:cs="Calibri" w:eastAsia="Calibri" w:hAnsi="Calibri"/>
          <w:sz w:val="21"/>
          <w:szCs w:val="21"/>
        </w:rPr>
        <w:t xml:space="preserve">Obtain a written determination from a qualified retirement-plan administrator or actuary before adopting plan documents, rather than proceeding on an incomplete or informal analysis — a plan adopted on a faulty aggregation analysis can face a coverage failure that is far more costly to correct after the fact than to catch before adoption.</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owner wholly owns Company A (3 employees) and wants to adopt an owner-only 401(k) and cash-balance plan there, projecting a $250,000 combined annual contribution and deduction. He also owns 60% of Company B, a business with 40 employees, through which his wife separately owns another 15% (attributed to him as a spouse, bringing his effective ownership to 75%). Because the same five-or-fewer-owners test and the more-than-80%/50%-identical-ownership thresholds are met once his wife's attributed interest is included, Companies A and B are a controlled group and must be treated as one employer for retirement-plan purposes — meaning the plan at Company A must actually satisfy coverage testing counting all 43 combined employees, not just the 3 at Company A. Before finalizing plan documents, the actuary maps every entity (including the wife's attributed interest, which the owner had not initially mentioned because the shares were technically hers) and reruns the analysis. The corrected design either brings Company B's employees into the plan's coverage (materially raising cost, since nondiscrimination testing now spans 43 people, not 3) or restructures the ownership relationship before adoption — either way, catching this before the plan document is signed avoids a coverage failure that would be far more expensive to unwind after the fact, potentially including plan disqualification and retroactive taxation of all prior contributions.</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94. Partnership Loss Limitations Under §704(d) and Restoring Basis to Free Suspended Losses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Partnership / LLC</w:t>
      </w:r>
    </w:p>
    <w:p>
      <w:pPr>
        <w:spacing w:after="140" w:line="276"/>
      </w:pPr>
      <w:r>
        <w:rPr>
          <w:rFonts w:ascii="Calibri" w:cs="Calibri" w:eastAsia="Calibri" w:hAnsi="Calibri"/>
          <w:sz w:val="21"/>
          <w:szCs w:val="21"/>
        </w:rPr>
        <w:t xml:space="preserve">A partner or LLC member cannot deduct their full allocated share of a partnership loss if it exceeds their "outside basis" in the partnership interest — the excess is not lost permanently, but it is suspended, carrying forward indefinitely until basis is restored, and it can be forfeited entirely if the partner disposes of or liquidates their interest while basis remains at zero. A partner facing this limitation has a straightforward, low-cost fix available: contributing additional capital before a loss-generating event, or before winding up the partnership, restores basis and frees the suspended loss that would otherwise simply disappear.</w:t>
      </w:r>
    </w:p>
    <w:p>
      <w:pPr>
        <w:pStyle w:val="Heading2"/>
        <w:spacing w:after="80" w:before="200"/>
      </w:pPr>
      <w:r>
        <w:rPr>
          <w:rFonts w:ascii="Calibri" w:cs="Calibri" w:eastAsia="Calibri" w:hAnsi="Calibri"/>
          <w:b/>
          <w:bCs/>
          <w:color w:val="2E5496"/>
          <w:sz w:val="24"/>
          <w:szCs w:val="24"/>
        </w:rPr>
        <w:t xml:space="preserve">How Basis Governs What a Partner Can Actually Deduct</w:t>
      </w:r>
    </w:p>
    <w:p>
      <w:pPr>
        <w:spacing w:after="140" w:line="276"/>
      </w:pPr>
      <w:r>
        <w:rPr>
          <w:rFonts w:ascii="Calibri" w:cs="Calibri" w:eastAsia="Calibri" w:hAnsi="Calibri"/>
          <w:sz w:val="21"/>
          <w:szCs w:val="21"/>
        </w:rPr>
        <w:t xml:space="preserve">A partner's outside basis starts with their capital contributions and is adjusted upward for their share of partnership income and additional contributions, and downward for distributions received and their share of partnership losses already deducted. A partner can deduct their allocated share of a partnership loss only to the extent they have positive outside basis to absorb it — any loss in excess of available basis is suspended, not disallowed permanently, and carries forward to be deducted in a future year once basis is restored (typically through additional capital contributions or a subsequent allocation of partnership income).</w:t>
      </w:r>
    </w:p>
    <w:p>
      <w:pPr>
        <w:spacing w:after="140" w:line="276"/>
      </w:pPr>
      <w:r>
        <w:rPr>
          <w:rFonts w:ascii="Calibri" w:cs="Calibri" w:eastAsia="Calibri" w:hAnsi="Calibri"/>
          <w:sz w:val="21"/>
          <w:szCs w:val="21"/>
        </w:rPr>
        <w:t xml:space="preserve">This basis limitation is entirely separate from, and can be easy to overlook alongside, other partnership-level tests like the at-risk rules and the passive-activity-loss rules — a loss can clear the basis test but still be suspended by one of those other limitations, so basis is a necessary but not sufficient condition for actually deducting a partnership loss in a given year. Confirming which limitation (or combination of limitations) is actually constraining a given year's loss deduction matters for knowing which fix actually helps.</w:t>
      </w:r>
    </w:p>
    <w:p>
      <w:pPr>
        <w:spacing w:after="140" w:line="276"/>
      </w:pPr>
      <w:r>
        <w:rPr>
          <w:rFonts w:ascii="Calibri" w:cs="Calibri" w:eastAsia="Calibri" w:hAnsi="Calibri"/>
          <w:sz w:val="21"/>
          <w:szCs w:val="21"/>
        </w:rPr>
        <w:t xml:space="preserve">The consequence that catches partners off guard is at liquidation or disposition: if a partner's interest is liquidated or otherwise disposed of while a suspended §704(d) loss still sits on the books, that suspended loss is generally forfeited permanently — it does not survive the disposition, and there is no later year in which it can still be claimed. A partner who is aware their outside basis is at or near zero, and who is facing a liquidation or exit from the partnership, has a real and inexpensive opportunity to avoid this forfeiture: contributing additional capital before the liquidating event restores basis by exactly the contribution amount, freeing a corresponding amount of previously suspended loss to be deducted, and often simultaneously reducing any capital gain the same liquidating distribution would otherwise trigger.</w:t>
      </w:r>
    </w:p>
    <w:p>
      <w:pPr>
        <w:pStyle w:val="ListParagraph"/>
        <w:numPr>
          <w:ilvl w:val="0"/>
          <w:numId w:val="2"/>
        </w:numPr>
        <w:spacing w:after="60" w:line="276"/>
      </w:pPr>
      <w:r>
        <w:rPr>
          <w:rFonts w:ascii="Calibri" w:cs="Calibri" w:eastAsia="Calibri" w:hAnsi="Calibri"/>
          <w:sz w:val="21"/>
          <w:szCs w:val="21"/>
        </w:rPr>
        <w:t xml:space="preserve">Track outside basis on an ongoing basis, not just at the point a loss is claimed — a partner who does not know their current basis cannot tell whether a loss will be currently deductible or suspended until it is too late to plan around it.</w:t>
      </w:r>
    </w:p>
    <w:p>
      <w:pPr>
        <w:pStyle w:val="ListParagraph"/>
        <w:numPr>
          <w:ilvl w:val="0"/>
          <w:numId w:val="2"/>
        </w:numPr>
        <w:spacing w:after="60" w:line="276"/>
      </w:pPr>
      <w:r>
        <w:rPr>
          <w:rFonts w:ascii="Calibri" w:cs="Calibri" w:eastAsia="Calibri" w:hAnsi="Calibri"/>
          <w:sz w:val="21"/>
          <w:szCs w:val="21"/>
        </w:rPr>
        <w:t xml:space="preserve">Before agreeing to liquidate or dispose of a partnership interest that carries suspended §704(d) losses, check whether outside basis is at or near zero — if so, evaluate a capital contribution before the liquidating event to restore basis and free the suspended loss before it is forfeited for good.</w:t>
      </w:r>
    </w:p>
    <w:p>
      <w:pPr>
        <w:pStyle w:val="ListParagraph"/>
        <w:numPr>
          <w:ilvl w:val="0"/>
          <w:numId w:val="2"/>
        </w:numPr>
        <w:spacing w:after="60" w:line="276"/>
      </w:pPr>
      <w:r>
        <w:rPr>
          <w:rFonts w:ascii="Calibri" w:cs="Calibri" w:eastAsia="Calibri" w:hAnsi="Calibri"/>
          <w:sz w:val="21"/>
          <w:szCs w:val="21"/>
        </w:rPr>
        <w:t xml:space="preserve">Remember that clearing the basis test is not the end of the analysis — separately confirm the loss is not also limited by the at-risk rules or, if the activity is passive to this partner, the passive-activity-loss rules, since any one of these can independently suspend a loss that the others would otherwise allow.</w:t>
      </w:r>
    </w:p>
    <w:p>
      <w:pPr>
        <w:pStyle w:val="ListParagraph"/>
        <w:numPr>
          <w:ilvl w:val="0"/>
          <w:numId w:val="2"/>
        </w:numPr>
        <w:spacing w:after="60" w:line="276"/>
      </w:pPr>
      <w:r>
        <w:rPr>
          <w:rFonts w:ascii="Calibri" w:cs="Calibri" w:eastAsia="Calibri" w:hAnsi="Calibri"/>
          <w:sz w:val="21"/>
          <w:szCs w:val="21"/>
        </w:rPr>
        <w:t xml:space="preserve">Model the interaction between a capital contribution's basis-restoring effect and its effect on any liquidating gain together, since the same contribution that frees a suspended loss can also reduce dollar-for-dollar the gain recognized on a subsequent liquidating distribution.</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partner's outside basis is currently zero. Three years ago, the partnership allocated him a $60,000 loss when his basis was only $15,000 — $15,000 was deductible that year, and the remaining $45,000 was suspended under § 704(d), carried forward on his records but never yet deducted. The partnership is now winding down and preparing to liquidate, which would otherwise permanently forfeit that $45,000 suspended loss, since a suspended §704(d) loss does not survive a disposition once basis remains at zero. Before the liquidation, he contributes an additional $45,000 of capital to the partnership. That contribution restores his outside basis to $45,000, which immediately frees the full $45,000 suspended loss for deduction on this year's return — at a combined federal-and-state marginal rate of 35%, that is roughly $15,750 of tax savings captured by a $45,000 contribution that would otherwise have simply funded the wind-down with no basis benefit at all. The same $45,000 basis increase also reduces, dollar for dollar, any capital gain the liquidating distribution itself would otherwise trigger — a single contribution doing double duty at exactly the moment it matters most.</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95. Claiming a Credit for Taxes Paid to Another State to Avoid Double Taxation</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w:t>
      </w:r>
    </w:p>
    <w:p>
      <w:pPr>
        <w:spacing w:after="140" w:line="276"/>
      </w:pPr>
      <w:r>
        <w:rPr>
          <w:rFonts w:ascii="Calibri" w:cs="Calibri" w:eastAsia="Calibri" w:hAnsi="Calibri"/>
          <w:sz w:val="21"/>
          <w:szCs w:val="21"/>
        </w:rPr>
        <w:t xml:space="preserve">A taxpayer who lives in one state but earns income sourced to another — through a job, a pass-through business interest, or rental property — can end up with both states claiming the right to tax the same dollar of income. Most states address this through a resident credit: the taxpayer's home state gives a credit against its own tax for the tax actually paid to the other, nonresident state on the same income, preventing the same dollar from being taxed twice at the state level.</w:t>
      </w:r>
    </w:p>
    <w:p>
      <w:pPr>
        <w:pStyle w:val="Heading2"/>
        <w:spacing w:after="80" w:before="200"/>
      </w:pPr>
      <w:r>
        <w:rPr>
          <w:rFonts w:ascii="Calibri" w:cs="Calibri" w:eastAsia="Calibri" w:hAnsi="Calibri"/>
          <w:b/>
          <w:bCs/>
          <w:color w:val="2E5496"/>
          <w:sz w:val="24"/>
          <w:szCs w:val="24"/>
        </w:rPr>
        <w:t xml:space="preserve">How the Credit Prevents Double State Taxation</w:t>
      </w:r>
    </w:p>
    <w:p>
      <w:pPr>
        <w:spacing w:after="140" w:line="276"/>
      </w:pPr>
      <w:r>
        <w:rPr>
          <w:rFonts w:ascii="Calibri" w:cs="Calibri" w:eastAsia="Calibri" w:hAnsi="Calibri"/>
          <w:sz w:val="21"/>
          <w:szCs w:val="21"/>
        </w:rPr>
        <w:t xml:space="preserve">A state generally taxes its own residents on all of their income regardless of where it was earned, while taxing nonresidents only on income actually sourced to that state (wages for work performed there, income from a business operating there, or gain from property located there). This overlapping structure means a taxpayer who is a resident of one state but earns income sourced to a second, nonresident state can technically owe tax to both states on the identical income — the resident state because it taxes worldwide income, and the nonresident state because the income is sourced there.</w:t>
      </w:r>
    </w:p>
    <w:p>
      <w:pPr>
        <w:spacing w:after="140" w:line="276"/>
      </w:pPr>
      <w:r>
        <w:rPr>
          <w:rFonts w:ascii="Calibri" w:cs="Calibri" w:eastAsia="Calibri" w:hAnsi="Calibri"/>
          <w:sz w:val="21"/>
          <w:szCs w:val="21"/>
        </w:rPr>
        <w:t xml:space="preserve">The resident-credit mechanism resolves this by having the taxpayer's home (resident) state grant a credit against its own tax liability, generally equal to the lesser of the tax actually paid to the other state on that income, or the resident state's own tax on that same income. In the most common result, if the nonresident state's tax on the shared income is equal to or greater than what the resident state would have charged on it, the resident-state credit can fully absorb the resident state's tax on that income, leaving the taxpayer with no additional state tax due on it beyond what was already paid to the nonresident state.</w:t>
      </w:r>
    </w:p>
    <w:p>
      <w:pPr>
        <w:spacing w:after="140" w:line="276"/>
      </w:pPr>
      <w:r>
        <w:rPr>
          <w:rFonts w:ascii="Calibri" w:cs="Calibri" w:eastAsia="Calibri" w:hAnsi="Calibri"/>
          <w:sz w:val="21"/>
          <w:szCs w:val="21"/>
        </w:rPr>
        <w:t xml:space="preserve">Getting the credit calculated correctly depends entirely on the underlying income actually being sourced correctly to each state in the first place — wages, in particular, must be sourced based on where the work is actually performed or where the underlying compensation is properly attributed, not simply based on which state's payroll system happened to withhold. A mismatch between where wages are correctly sourced and where a payroll system is actually withholding can distort both the nonresident-state filing and the resident-state credit calculation, understating or overstating the credit and leaving one of the two returns wrong even if the other is filed correctly.</w:t>
      </w:r>
    </w:p>
    <w:p>
      <w:pPr>
        <w:pStyle w:val="ListParagraph"/>
        <w:numPr>
          <w:ilvl w:val="0"/>
          <w:numId w:val="2"/>
        </w:numPr>
        <w:spacing w:after="60" w:line="276"/>
      </w:pPr>
      <w:r>
        <w:rPr>
          <w:rFonts w:ascii="Calibri" w:cs="Calibri" w:eastAsia="Calibri" w:hAnsi="Calibri"/>
          <w:sz w:val="21"/>
          <w:szCs w:val="21"/>
        </w:rPr>
        <w:t xml:space="preserve">Confirm which state should be treated as the resident state and which as the nonresident state for the specific income at issue — a taxpayer can be a resident of one state while working for an employer based in, or drawing income sourced to, an entirely different state.</w:t>
      </w:r>
    </w:p>
    <w:p>
      <w:pPr>
        <w:pStyle w:val="ListParagraph"/>
        <w:numPr>
          <w:ilvl w:val="0"/>
          <w:numId w:val="2"/>
        </w:numPr>
        <w:spacing w:after="60" w:line="276"/>
      </w:pPr>
      <w:r>
        <w:rPr>
          <w:rFonts w:ascii="Calibri" w:cs="Calibri" w:eastAsia="Calibri" w:hAnsi="Calibri"/>
          <w:sz w:val="21"/>
          <w:szCs w:val="21"/>
        </w:rPr>
        <w:t xml:space="preserve">Verify that payroll withholding is actually being directed to the correct state based on where work is performed or how the income is properly sourced — withholding sent to the wrong state does not itself establish correct sourcing, and can distort the credit computation on both returns.</w:t>
      </w:r>
    </w:p>
    <w:p>
      <w:pPr>
        <w:pStyle w:val="ListParagraph"/>
        <w:numPr>
          <w:ilvl w:val="0"/>
          <w:numId w:val="2"/>
        </w:numPr>
        <w:spacing w:after="60" w:line="276"/>
      </w:pPr>
      <w:r>
        <w:rPr>
          <w:rFonts w:ascii="Calibri" w:cs="Calibri" w:eastAsia="Calibri" w:hAnsi="Calibri"/>
          <w:sz w:val="21"/>
          <w:szCs w:val="21"/>
        </w:rPr>
        <w:t xml:space="preserve">File the nonresident-state return first (or otherwise establish the tax actually paid to the nonresident state) before finalizing the resident-state credit computation, since the credit is generally based on the actual nonresident-state tax liability, not an estimate of it.</w:t>
      </w:r>
    </w:p>
    <w:p>
      <w:pPr>
        <w:pStyle w:val="ListParagraph"/>
        <w:numPr>
          <w:ilvl w:val="0"/>
          <w:numId w:val="2"/>
        </w:numPr>
        <w:spacing w:after="60" w:line="276"/>
      </w:pPr>
      <w:r>
        <w:rPr>
          <w:rFonts w:ascii="Calibri" w:cs="Calibri" w:eastAsia="Calibri" w:hAnsi="Calibri"/>
          <w:sz w:val="21"/>
          <w:szCs w:val="21"/>
        </w:rPr>
        <w:t xml:space="preserve">Recheck this calculation any year the income mix between states changes materially — a credit that fully offset the resident state's tax in one year can leave a residual balance due in a later year if the nonresident-state tax rate is lower than the resident state's, or if the income sourced to each state shifts.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taxpayer lives in one state but holds a W-2 job whose wages are properly sourced to a second state where the work is actually performed. The nonresident state taxes those wages as sourced income, and the resident state — because it taxes all of the taxpayer's income regardless of source — would otherwise also tax the same wages. On the resident-state return, the taxpayer claims a credit for the tax actually paid to the nonresident state on those wages, which offsets the resident state's tax on that same income and prevents the wages from being taxed a second time. Because the nonresident state's tax on the income happens to be higher than what the resident state would have charged, the credit fully absorbs the resident state's tax on that income, leaving no incremental resident-state tax due on it.</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This credit is only as reliable as the underlying sourcing — a taxpayer whose payroll system withholds to the wrong state, or who does not carefully track which income is properly sourced where, can end up with a credit computation that does not match reality on either return, sometimes leaving genuine double taxation in place despite the credit mechanism existing specifically to prevent it.</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96. Imputing AFR Interest on Below-Market Related-Party Loans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  ·  IRS Compliance &amp; Risk Management</w:t>
      </w:r>
    </w:p>
    <w:p>
      <w:pPr>
        <w:spacing w:after="140" w:line="276"/>
      </w:pPr>
      <w:r>
        <w:rPr>
          <w:rFonts w:ascii="Calibri" w:cs="Calibri" w:eastAsia="Calibri" w:hAnsi="Calibri"/>
          <w:sz w:val="21"/>
          <w:szCs w:val="21"/>
        </w:rPr>
        <w:t xml:space="preserve">A loan between related parties — a business and its owner, or between family members — that charges no interest, or interest below the IRS's published minimum rate, is not simply a favor with no tax consequence. A specific provision recharacterizes the "foregone" interest on such a loan as if it had actually been paid and received, creating phantom income and, depending on the loan's purpose, potentially a taxable gift as well — all avoidable by simply charging interest at or above the applicable federal rate in the first place.</w:t>
      </w:r>
    </w:p>
    <w:p>
      <w:pPr>
        <w:pStyle w:val="Heading2"/>
        <w:spacing w:after="80" w:before="200"/>
      </w:pPr>
      <w:r>
        <w:rPr>
          <w:rFonts w:ascii="Calibri" w:cs="Calibri" w:eastAsia="Calibri" w:hAnsi="Calibri"/>
          <w:b/>
          <w:bCs/>
          <w:color w:val="2E5496"/>
          <w:sz w:val="24"/>
          <w:szCs w:val="24"/>
        </w:rPr>
        <w:t xml:space="preserve">Why an Interest-Free Loan Is Rarely Actually Free</w:t>
      </w:r>
    </w:p>
    <w:p>
      <w:pPr>
        <w:spacing w:after="140" w:line="276"/>
      </w:pPr>
      <w:r>
        <w:rPr>
          <w:rFonts w:ascii="Calibri" w:cs="Calibri" w:eastAsia="Calibri" w:hAnsi="Calibri"/>
          <w:sz w:val="21"/>
          <w:szCs w:val="21"/>
        </w:rPr>
        <w:t xml:space="preserve">The IRS publishes a set of minimum interest rates each month — the Applicable Federal Rates, varying by loan term (short-term, mid-term, long-term) — that serve as the floor below which a loan between related parties is treated as "below-market" for tax purposes. When a related-party loan charges interest below the applicable rate (including a loan that charges no interest at all), the tax code treats the difference between what should have been charged and what was actually charged as if it had been paid anyway: the lender is deemed to have received that foregone interest as taxable income, and, depending on the relationship and the nature of the loan, the borrower may be deemed to have received a matching amount as a gift, additional compensation, or a corporate distribution.</w:t>
      </w:r>
    </w:p>
    <w:p>
      <w:pPr>
        <w:spacing w:after="140" w:line="276"/>
      </w:pPr>
      <w:r>
        <w:rPr>
          <w:rFonts w:ascii="Calibri" w:cs="Calibri" w:eastAsia="Calibri" w:hAnsi="Calibri"/>
          <w:sz w:val="21"/>
          <w:szCs w:val="21"/>
        </w:rPr>
        <w:t xml:space="preserve">The specific recharacterization depends on the relationship between the parties. A below-market loan from an employer to an employee is generally treated as the foregone interest being paid to the employer as taxable interest income, with a corresponding compensation payment deemed made to the employee (taxable wages, and subject to payroll tax). A below-market loan from a corporation to its shareholder is generally treated similarly but with the foregone interest offset against a deemed corporate distribution to the shareholder instead of compensation. A below-market loan between family members can be treated as a foregone-interest gift from the lender to the borrower, potentially implicating gift-tax reporting if the amounts are large enough.</w:t>
      </w:r>
    </w:p>
    <w:p>
      <w:pPr>
        <w:spacing w:after="140" w:line="276"/>
      </w:pPr>
      <w:r>
        <w:rPr>
          <w:rFonts w:ascii="Calibri" w:cs="Calibri" w:eastAsia="Calibri" w:hAnsi="Calibri"/>
          <w:sz w:val="21"/>
          <w:szCs w:val="21"/>
        </w:rPr>
        <w:t xml:space="preserve">The straightforward fix is to simply charge interest at or above the applicable federal rate for the loan's term at the time it is made, documented in a written promissory note with defined terms — principal, rate, repayment schedule, and maturity. A properly documented, adequately-interest-bearing loan avoids the below-market recharacterization entirely: the lender reports the actual interest received as ordinary income (which they would owe tax on regardless), and there is no phantom compensation, distribution, or gift layered on top of the loan itself.</w:t>
      </w:r>
    </w:p>
    <w:p>
      <w:pPr>
        <w:pStyle w:val="ListParagraph"/>
        <w:numPr>
          <w:ilvl w:val="0"/>
          <w:numId w:val="2"/>
        </w:numPr>
        <w:spacing w:after="60" w:line="276"/>
      </w:pPr>
      <w:r>
        <w:rPr>
          <w:rFonts w:ascii="Calibri" w:cs="Calibri" w:eastAsia="Calibri" w:hAnsi="Calibri"/>
          <w:sz w:val="21"/>
          <w:szCs w:val="21"/>
        </w:rPr>
        <w:t xml:space="preserve">Document every related-party loan — between a business and its owner, or between family members — with a written promissory note specifying principal, interest rate, repayment terms, and maturity date, at the time the loan is made, not reconstructed later.</w:t>
      </w:r>
    </w:p>
    <w:p>
      <w:pPr>
        <w:pStyle w:val="ListParagraph"/>
        <w:numPr>
          <w:ilvl w:val="0"/>
          <w:numId w:val="2"/>
        </w:numPr>
        <w:spacing w:after="60" w:line="276"/>
      </w:pPr>
      <w:r>
        <w:rPr>
          <w:rFonts w:ascii="Calibri" w:cs="Calibri" w:eastAsia="Calibri" w:hAnsi="Calibri"/>
          <w:sz w:val="21"/>
          <w:szCs w:val="21"/>
        </w:rPr>
        <w:t xml:space="preserve">Set the interest rate at or above the applicable federal rate in effect for the loan's term (short-term, mid-term, or long-term) at the time the loan originates — the rates are published monthly and vary by term, so use the correct one for the specific loan.</w:t>
      </w:r>
    </w:p>
    <w:p>
      <w:pPr>
        <w:pStyle w:val="ListParagraph"/>
        <w:numPr>
          <w:ilvl w:val="0"/>
          <w:numId w:val="2"/>
        </w:numPr>
        <w:spacing w:after="60" w:line="276"/>
      </w:pPr>
      <w:r>
        <w:rPr>
          <w:rFonts w:ascii="Calibri" w:cs="Calibri" w:eastAsia="Calibri" w:hAnsi="Calibri"/>
          <w:sz w:val="21"/>
          <w:szCs w:val="21"/>
        </w:rPr>
        <w:t xml:space="preserve">Identify the correct relationship-specific recharacterization exposure before assuming a below-market loan is a minor issue — employer-to-employee, corporation-to-shareholder, and family loans each carry a different deemed second transaction (compensation, distribution, or gift) layered on top of the foregone-interest income.</w:t>
      </w:r>
    </w:p>
    <w:p>
      <w:pPr>
        <w:pStyle w:val="ListParagraph"/>
        <w:numPr>
          <w:ilvl w:val="0"/>
          <w:numId w:val="2"/>
        </w:numPr>
        <w:spacing w:after="60" w:line="276"/>
      </w:pPr>
      <w:r>
        <w:rPr>
          <w:rFonts w:ascii="Calibri" w:cs="Calibri" w:eastAsia="Calibri" w:hAnsi="Calibri"/>
          <w:sz w:val="21"/>
          <w:szCs w:val="21"/>
        </w:rPr>
        <w:t xml:space="preserve">Review any existing related-party loan already on the books for whether it charges adequate interest — a loan that has been sitting interest-free or under-rate for multiple years has been generating unreported foregone-interest income (and its related deemed second transaction) every year it remained below-market, not just in the year it was made.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advances $300,000 to its sole owner as a running, interest-free loan balance with no promissory note. At a representative mid-term AFR of 4.5%, the foregone interest is $13,500 per year. Left undocumented, § 7872 treats the business as having received $13,500 of taxable interest income each year the loan remains outstanding, offset by a deemed $13,500 corporate distribution to the owner in the same amount — three years of neglect compounds to $40,500 of unreported phantom income and matching distributions across the loan's life, discovered all at once on examination along with penalties and interest on the shortfall. The fix costs nothing but paperwork: documenting the $300,000 balance today with a written note at 4.5% (the current AFR for the term), with a defined repayment schedule, converts the arrangement into a normal loan going forward — the business simply reports the actual $13,500 of interest received each year as ordinary income (which it would owe tax on in any case), with no phantom compensation, distribution, or gift layered on top.</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97. Related-Party Property Purchases Disqualify Bonus Depreciation and §179, Even Through an LLC Wrapper</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Real Estate  ·  IRS Compliance &amp; Risk Management</w:t>
      </w:r>
    </w:p>
    <w:p>
      <w:pPr>
        <w:spacing w:after="140" w:line="276"/>
      </w:pPr>
      <w:r>
        <w:rPr>
          <w:rFonts w:ascii="Calibri" w:cs="Calibri" w:eastAsia="Calibri" w:hAnsi="Calibri"/>
          <w:sz w:val="21"/>
          <w:szCs w:val="21"/>
        </w:rPr>
        <w:t xml:space="preserve">Bonus depreciation and the §179 expensing election are among the most powerful tools for accelerating deductions on newly acquired business or rental property, but both come with a condition that is easy to overlook: the property generally must be acquired from a party the buyer is not related to. When a taxpayer buys real estate or equipment from a parent, sibling, child, or other closely related person or entity, that condition fails — and no amount of restructuring the purchase through an LLC or other entity changes the outcome, because the related-party test looks through the entity to the people who actually control it.</w:t>
      </w:r>
    </w:p>
    <w:p>
      <w:pPr>
        <w:pStyle w:val="Heading2"/>
        <w:spacing w:after="80" w:before="200"/>
      </w:pPr>
      <w:r>
        <w:rPr>
          <w:rFonts w:ascii="Calibri" w:cs="Calibri" w:eastAsia="Calibri" w:hAnsi="Calibri"/>
          <w:b/>
          <w:bCs/>
          <w:color w:val="2E5496"/>
          <w:sz w:val="24"/>
          <w:szCs w:val="24"/>
        </w:rPr>
        <w:t xml:space="preserve">Why the Relationship of the Parties, Not the Entity on the Deed, Controls</w:t>
      </w:r>
    </w:p>
    <w:p>
      <w:pPr>
        <w:spacing w:after="140" w:line="276"/>
      </w:pPr>
      <w:r>
        <w:rPr>
          <w:rFonts w:ascii="Calibri" w:cs="Calibri" w:eastAsia="Calibri" w:hAnsi="Calibri"/>
          <w:sz w:val="21"/>
          <w:szCs w:val="21"/>
        </w:rPr>
        <w:t xml:space="preserve">The related-party rules were written to prevent a taxpayer from generating an artificial depreciation benefit by shuffling an asset within a family or a closely held group without any real change in economic ownership. The test asks whether the buyer and the seller are related under a specific definition — which reaches lineal ancestors and descendants, siblings, and entities that are majority-owned or controlled by the same person or family — not simply whether the two sides signed a purchase agreement as separate legal names.</w:t>
      </w:r>
    </w:p>
    <w:p>
      <w:pPr>
        <w:spacing w:after="140" w:line="276"/>
      </w:pPr>
      <w:r>
        <w:rPr>
          <w:rFonts w:ascii="Calibri" w:cs="Calibri" w:eastAsia="Calibri" w:hAnsi="Calibri"/>
          <w:sz w:val="21"/>
          <w:szCs w:val="21"/>
        </w:rPr>
        <w:t xml:space="preserve">This is precisely why interposing an LLC between the buyer and a related seller does not cure the problem. If a taxpayer's LLC purchases property from that taxpayer's parent, the analysis looks through the LLC to its owner and asks whether the owner is related to the seller. Because the LLC is disregarded (or otherwise controlled by the same related person) for this purpose, the related-party relationship between the individual and the parent controls the outcome regardless of which name appears as the buyer on the closing documents.</w:t>
      </w:r>
    </w:p>
    <w:p>
      <w:pPr>
        <w:spacing w:after="140" w:line="276"/>
      </w:pPr>
      <w:r>
        <w:rPr>
          <w:rFonts w:ascii="Calibri" w:cs="Calibri" w:eastAsia="Calibri" w:hAnsi="Calibri"/>
          <w:sz w:val="21"/>
          <w:szCs w:val="21"/>
        </w:rPr>
        <w:t xml:space="preserve">The consequence of losing bonus depreciation and §179 eligibility is not that the property becomes non-depreciable — it simply falls back to ordinary, straight-line depreciation over the asset's regular recovery period (typically 27.5 or 39 years for real estate, or the applicable class life for equipment), rather than being expensed in the year the asset is placed in service. For a taxpayer whose entire economic case for the purchase rested on a large first-year deduction, this can turn an otherwise attractive acquisition into a much less compelling one on an after-tax basis.</w:t>
      </w:r>
    </w:p>
    <w:p>
      <w:pPr>
        <w:pStyle w:val="ListParagraph"/>
        <w:numPr>
          <w:ilvl w:val="0"/>
          <w:numId w:val="2"/>
        </w:numPr>
        <w:spacing w:after="60" w:line="276"/>
      </w:pPr>
      <w:r>
        <w:rPr>
          <w:rFonts w:ascii="Calibri" w:cs="Calibri" w:eastAsia="Calibri" w:hAnsi="Calibri"/>
          <w:sz w:val="21"/>
          <w:szCs w:val="21"/>
        </w:rPr>
        <w:t xml:space="preserve">Before committing to any purchase where accelerated depreciation is part of the economic rationale, identify every party on the other side of the transaction and check each one against the related-party definitions — not just the immediate seller of record, but who actually controls that seller.</w:t>
      </w:r>
    </w:p>
    <w:p>
      <w:pPr>
        <w:pStyle w:val="ListParagraph"/>
        <w:numPr>
          <w:ilvl w:val="0"/>
          <w:numId w:val="2"/>
        </w:numPr>
        <w:spacing w:after="60" w:line="276"/>
      </w:pPr>
      <w:r>
        <w:rPr>
          <w:rFonts w:ascii="Calibri" w:cs="Calibri" w:eastAsia="Calibri" w:hAnsi="Calibri"/>
          <w:sz w:val="21"/>
          <w:szCs w:val="21"/>
        </w:rPr>
        <w:t xml:space="preserve">Do not assume that buying through a newly formed LLC, trust, or other entity changes the related-party analysis — the rule looks through to the individuals who own and control the buying entity.</w:t>
      </w:r>
    </w:p>
    <w:p>
      <w:pPr>
        <w:pStyle w:val="ListParagraph"/>
        <w:numPr>
          <w:ilvl w:val="0"/>
          <w:numId w:val="2"/>
        </w:numPr>
        <w:spacing w:after="60" w:line="276"/>
      </w:pPr>
      <w:r>
        <w:rPr>
          <w:rFonts w:ascii="Calibri" w:cs="Calibri" w:eastAsia="Calibri" w:hAnsi="Calibri"/>
          <w:sz w:val="21"/>
          <w:szCs w:val="21"/>
        </w:rPr>
        <w:t xml:space="preserve">If a related-party purchase is unavoidable (for example, a family member is selling a property the taxpayer specifically wants), model the deal on ordinary MACRS depreciation from the outset rather than assuming bonus depreciation or §179 will be available, so the decision to proceed is made on accurate numbers.</w:t>
      </w:r>
    </w:p>
    <w:p>
      <w:pPr>
        <w:pStyle w:val="ListParagraph"/>
        <w:numPr>
          <w:ilvl w:val="0"/>
          <w:numId w:val="2"/>
        </w:numPr>
        <w:spacing w:after="60" w:line="276"/>
      </w:pPr>
      <w:r>
        <w:rPr>
          <w:rFonts w:ascii="Calibri" w:cs="Calibri" w:eastAsia="Calibri" w:hAnsi="Calibri"/>
          <w:sz w:val="21"/>
          <w:szCs w:val="21"/>
        </w:rPr>
        <w:t xml:space="preserve">Where the depreciation benefit was the primary reason for the purchase and it turns out to be unavailable, revisit whether the transaction still makes sense on its underlying economics alone, before the parties are contractually committed.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taxpayer's newly formed LLC is under contract to buy a vacation rental condo from the taxpayer's parent and stepparent, with the expectation of a large first-year bonus-depreciation deduction from a cost segregation study. Because the parent is a related party to the taxpayer under the related-party definitions, and the purchasing LLC is wholly owned and controlled by the taxpayer, the related-party relationship carries through to the LLC regardless of the entity wrapper. Bonus depreciation and §179 are unavailable on the purchase; only ordinary straight-line depreciation over the property's regular recovery period applies. Before finalizing the purchase, the taxpayer re-models the deal using ordinary depreciation instead of the assumed bonus deduction, to confirm the transaction still makes sense once the anticipated first-year tax benefit is removed from the analysis.</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This issue is easy to miss precisely because the entity holding title looks unrelated to the seller on paper — the related-party analysis is about who ultimately controls the buying entity, not what name is on the deed, and it is worth checking before a purchase is finalized rather than after a return has already been prepared assuming the larger deduction.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98. Why an S-Corporation Owner-Employee Must Be Paid on a W-2, Not as a 1099 Contractor</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S-Corporation  ·  IRS Compliance &amp; Risk Management</w:t>
      </w:r>
    </w:p>
    <w:p>
      <w:pPr>
        <w:spacing w:after="140" w:line="276"/>
      </w:pPr>
      <w:r>
        <w:rPr>
          <w:rFonts w:ascii="Calibri" w:cs="Calibri" w:eastAsia="Calibri" w:hAnsi="Calibri"/>
          <w:sz w:val="21"/>
          <w:szCs w:val="21"/>
        </w:rPr>
        <w:t xml:space="preserve">An S-corporation's entire payroll-tax advantage rests on a simple mechanical requirement: the owner who works in the business must be paid as a W-2 employee, with payroll taxes withheld and remitted, before any residual profit can be taken as a distribution free of employment tax. When an S-corporation instead pays its owner-operator through the 1099 contractor system — treating the owner's pay as outside contract labor rather than officer wages — it does not merely fail to reap the S-corp benefit; it actively creates a worse tax outcome than not electing S status at all, because the owner ends up personally exposed to self-employment tax on income the corporation has already deducted as a business expense.</w:t>
      </w:r>
    </w:p>
    <w:p>
      <w:pPr>
        <w:pStyle w:val="Heading2"/>
        <w:spacing w:after="80" w:before="200"/>
      </w:pPr>
      <w:r>
        <w:rPr>
          <w:rFonts w:ascii="Calibri" w:cs="Calibri" w:eastAsia="Calibri" w:hAnsi="Calibri"/>
          <w:b/>
          <w:bCs/>
          <w:color w:val="2E5496"/>
          <w:sz w:val="24"/>
          <w:szCs w:val="24"/>
        </w:rPr>
        <w:t xml:space="preserve">The Double Exposure Created by Paying an Owner as a Contractor</w:t>
      </w:r>
    </w:p>
    <w:p>
      <w:pPr>
        <w:spacing w:after="140" w:line="276"/>
      </w:pPr>
      <w:r>
        <w:rPr>
          <w:rFonts w:ascii="Calibri" w:cs="Calibri" w:eastAsia="Calibri" w:hAnsi="Calibri"/>
          <w:sz w:val="21"/>
          <w:szCs w:val="21"/>
        </w:rPr>
        <w:t xml:space="preserve">An S-corporation shareholder who performs services for the business is legally required to be treated as an employee for that work and paid reasonable compensation through payroll, with the corporation withholding federal income tax, Social Security, and Medicare, and paying the employer share of FICA. Only profit remaining after that reasonable salary can be distributed to the shareholder as a distribution, which is not subject to FICA or self-employment tax — that gap between W-2 wages and untaxed distributions is the entire reason an active owner elects S-corporation status in the first place.</w:t>
      </w:r>
    </w:p>
    <w:p>
      <w:pPr>
        <w:spacing w:after="140" w:line="276"/>
      </w:pPr>
      <w:r>
        <w:rPr>
          <w:rFonts w:ascii="Calibri" w:cs="Calibri" w:eastAsia="Calibri" w:hAnsi="Calibri"/>
          <w:sz w:val="21"/>
          <w:szCs w:val="21"/>
        </w:rPr>
        <w:t xml:space="preserve">When the owner is instead paid as a 1099 independent contractor, two problems compound each other. First, the corporation has no officer wages at all, so it cannot support the reasonable-compensation position the S-election depends on — an examiner reviewing a return with $0 officer wages and a large "contract labor" expense line to the sole shareholder-operator has a straightforward case to recharacterize that pay as wages and assess back payroll tax and penalties directly against the corporation. Second, and independently, the owner who receives that pay as a 1099 contractor must report it as self-employment income on their personal return and pay full self-employment tax on it — the same 15.3% the S-election was meant to reduce down to FICA only on a reasonable salary.</w:t>
      </w:r>
    </w:p>
    <w:p>
      <w:pPr>
        <w:spacing w:after="140" w:line="276"/>
      </w:pPr>
      <w:r>
        <w:rPr>
          <w:rFonts w:ascii="Calibri" w:cs="Calibri" w:eastAsia="Calibri" w:hAnsi="Calibri"/>
          <w:sz w:val="21"/>
          <w:szCs w:val="21"/>
        </w:rPr>
        <w:t xml:space="preserve">The result is not a wash; it is worse than never having elected S-corporation status. A default LLC taxed as a sole proprietorship or partnership would have generated self-employment tax on the owner's profit, but at least the entity would not be carrying the compliance burden and exposure of an S-election that is not actually being administered — no payroll tax return, no reasonable-compensation defense, and no accountable plan or fringe-benefit treatment available, because none of those benefits attach until real W-2 wages exist.</w:t>
      </w:r>
    </w:p>
    <w:p>
      <w:pPr>
        <w:pStyle w:val="ListParagraph"/>
        <w:numPr>
          <w:ilvl w:val="0"/>
          <w:numId w:val="2"/>
        </w:numPr>
        <w:spacing w:after="60" w:line="276"/>
      </w:pPr>
      <w:r>
        <w:rPr>
          <w:rFonts w:ascii="Calibri" w:cs="Calibri" w:eastAsia="Calibri" w:hAnsi="Calibri"/>
          <w:sz w:val="21"/>
          <w:szCs w:val="21"/>
        </w:rPr>
        <w:t xml:space="preserve">Confirm that every owner who performs services for an S-corporation is on the payroll system as a W-2 employee, not coded as a 1099 contractor, before assuming any of the S-election's payroll-tax savings are actually being realized.</w:t>
      </w:r>
    </w:p>
    <w:p>
      <w:pPr>
        <w:pStyle w:val="ListParagraph"/>
        <w:numPr>
          <w:ilvl w:val="0"/>
          <w:numId w:val="2"/>
        </w:numPr>
        <w:spacing w:after="60" w:line="276"/>
      </w:pPr>
      <w:r>
        <w:rPr>
          <w:rFonts w:ascii="Calibri" w:cs="Calibri" w:eastAsia="Calibri" w:hAnsi="Calibri"/>
          <w:sz w:val="21"/>
          <w:szCs w:val="21"/>
        </w:rPr>
        <w:t xml:space="preserve">If an owner has been paid as a 1099 contractor since the S-election took effect, convert to W-2 payroll immediately and re-characterize the payments already made this year as wages rather than contract labor, rather than waiting until year-end.</w:t>
      </w:r>
    </w:p>
    <w:p>
      <w:pPr>
        <w:pStyle w:val="ListParagraph"/>
        <w:numPr>
          <w:ilvl w:val="0"/>
          <w:numId w:val="2"/>
        </w:numPr>
        <w:spacing w:after="60" w:line="276"/>
      </w:pPr>
      <w:r>
        <w:rPr>
          <w:rFonts w:ascii="Calibri" w:cs="Calibri" w:eastAsia="Calibri" w:hAnsi="Calibri"/>
          <w:sz w:val="21"/>
          <w:szCs w:val="21"/>
        </w:rPr>
        <w:t xml:space="preserve">Size the reasonable-compensation W-2 amount to reflect the actual time and effort the owner devotes to the business, documented contemporaneously — the salary must be defensible on its own facts, not simply a token amount designed to minimize payroll tax.</w:t>
      </w:r>
    </w:p>
    <w:p>
      <w:pPr>
        <w:pStyle w:val="ListParagraph"/>
        <w:numPr>
          <w:ilvl w:val="0"/>
          <w:numId w:val="2"/>
        </w:numPr>
        <w:spacing w:after="60" w:line="276"/>
      </w:pPr>
      <w:r>
        <w:rPr>
          <w:rFonts w:ascii="Calibri" w:cs="Calibri" w:eastAsia="Calibri" w:hAnsi="Calibri"/>
          <w:sz w:val="21"/>
          <w:szCs w:val="21"/>
        </w:rPr>
        <w:t xml:space="preserve">Do not treat the S-election as delivering any benefit on its own — the payroll-tax savings, the accountable-plan reimbursements, and the retirement-plan contributions tied to W-2 wages are all inert until real payroll is actually running.</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sole owner-operator elects S-corporation status for their business but continues paying themselves through the same 1099 contractor system used for outside crew, coded on the books as "contract labor" rather than officer wages. Because no W-2 wages exist, the owner personally owes self-employment tax on the full amount received, while the corporation's S-election sits dormant — none of its intended payroll-tax savings materialize, and the arrangement is now weaker than if the entity had simply remained a default single-member LLC. Once identified, the owner is converted to W-2 payroll running a reasonable salary, and the pay already received in the current year is re-characterized from contract labor to wages so that the S-election's benefit finally begins to apply going forward.</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This is one of the more expensive-to-ignore S-corp mistakes precisely because it is invisible on the surface — the election paperwork is filed and accepted by the IRS, so it looks complete, while the actual payroll mechanics that make the election worth anything have simply never been turned on.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99. The Combined 401(k) Employee Deferral Limit Applies Across Traditional and Roth Contributions</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Individual / Investment</w:t>
      </w:r>
    </w:p>
    <w:p>
      <w:pPr>
        <w:spacing w:after="140" w:line="276"/>
      </w:pPr>
      <w:r>
        <w:rPr>
          <w:rFonts w:ascii="Calibri" w:cs="Calibri" w:eastAsia="Calibri" w:hAnsi="Calibri"/>
          <w:sz w:val="21"/>
          <w:szCs w:val="21"/>
        </w:rPr>
        <w:t xml:space="preserve">A 401(k) plan that offers both a traditional (pre-tax) and a Roth (after-tax) deferral option can create a natural but costly misunderstanding: the annual employee elective-deferral limit is a single combined cap across both types of contribution, not a separate limit for each. A participant who defers up to the limit on the traditional side and then deferred up to the same limit again on the Roth side has not doubled their tax-advantaged savings — they have created an excess deferral that carries its own correction requirements and, left uncorrected, an excise tax.</w:t>
      </w:r>
    </w:p>
    <w:p>
      <w:pPr>
        <w:pStyle w:val="Heading2"/>
        <w:spacing w:after="80" w:before="200"/>
      </w:pPr>
      <w:r>
        <w:rPr>
          <w:rFonts w:ascii="Calibri" w:cs="Calibri" w:eastAsia="Calibri" w:hAnsi="Calibri"/>
          <w:b/>
          <w:bCs/>
          <w:color w:val="2E5496"/>
          <w:sz w:val="24"/>
          <w:szCs w:val="24"/>
        </w:rPr>
        <w:t xml:space="preserve">One Shared Cap, Not Two Separate Ones</w:t>
      </w:r>
    </w:p>
    <w:p>
      <w:pPr>
        <w:spacing w:after="140" w:line="276"/>
      </w:pPr>
      <w:r>
        <w:rPr>
          <w:rFonts w:ascii="Calibri" w:cs="Calibri" w:eastAsia="Calibri" w:hAnsi="Calibri"/>
          <w:sz w:val="21"/>
          <w:szCs w:val="21"/>
        </w:rPr>
        <w:t xml:space="preserve">The annual limit on what an employee may elect to defer from their own paycheck into a 401(k) plan is set once per year by the IRS and applies to the total of all elective deferrals the employee makes to that plan (and, generally, to any other 401(k) or similar plan the same person contributes to in the same year), regardless of whether those deferrals are directed to the traditional pre-tax bucket, the Roth after-tax bucket, or split between the two. Splitting contributions between traditional and Roth changes the tax character of the money going in and coming out later — it does not create a second, independent limit.</w:t>
      </w:r>
    </w:p>
    <w:p>
      <w:pPr>
        <w:spacing w:after="140" w:line="276"/>
      </w:pPr>
      <w:r>
        <w:rPr>
          <w:rFonts w:ascii="Calibri" w:cs="Calibri" w:eastAsia="Calibri" w:hAnsi="Calibri"/>
          <w:sz w:val="21"/>
          <w:szCs w:val="21"/>
        </w:rPr>
        <w:t xml:space="preserve">This is easy to get wrong in practice because payroll systems often let an employee set two separate percentage or dollar elections — one for traditional, one for Roth — without necessarily flagging in real time that the combined total is tracking above the annual cap. A participant (or a payroll processor manually calculating deferral amounts) can end up contributing meaningfully more than the limit for several pay periods before anyone notices, particularly when the elections were set up separately rather than as a single combined instruction.</w:t>
      </w:r>
    </w:p>
    <w:p>
      <w:pPr>
        <w:spacing w:after="140" w:line="276"/>
      </w:pPr>
      <w:r>
        <w:rPr>
          <w:rFonts w:ascii="Calibri" w:cs="Calibri" w:eastAsia="Calibri" w:hAnsi="Calibri"/>
          <w:sz w:val="21"/>
          <w:szCs w:val="21"/>
        </w:rPr>
        <w:t xml:space="preserve">An excess deferral that is not corrected by the tax deadline is taxed twice — once in the year it was contributed and again when it is eventually distributed — and can trigger an excise tax on the plan for failing to correct it timely. The fix, once identified mid-year, is straightforward: recalculate the remaining pay periods so the combined traditional-plus-Roth deferral lands exactly at the annual limit by year-end, rather than continuing to over-contribute and needing a corrective distribution later.</w:t>
      </w:r>
    </w:p>
    <w:p>
      <w:pPr>
        <w:pStyle w:val="ListParagraph"/>
        <w:numPr>
          <w:ilvl w:val="0"/>
          <w:numId w:val="2"/>
        </w:numPr>
        <w:spacing w:after="60" w:line="276"/>
      </w:pPr>
      <w:r>
        <w:rPr>
          <w:rFonts w:ascii="Calibri" w:cs="Calibri" w:eastAsia="Calibri" w:hAnsi="Calibri"/>
          <w:sz w:val="21"/>
          <w:szCs w:val="21"/>
        </w:rPr>
        <w:t xml:space="preserve">Track traditional and Roth 401(k) deferrals together against the single combined annual limit, not as two separate allowances, whenever a plan offers both options.</w:t>
      </w:r>
    </w:p>
    <w:p>
      <w:pPr>
        <w:pStyle w:val="ListParagraph"/>
        <w:numPr>
          <w:ilvl w:val="0"/>
          <w:numId w:val="2"/>
        </w:numPr>
        <w:spacing w:after="60" w:line="276"/>
      </w:pPr>
      <w:r>
        <w:rPr>
          <w:rFonts w:ascii="Calibri" w:cs="Calibri" w:eastAsia="Calibri" w:hAnsi="Calibri"/>
          <w:sz w:val="21"/>
          <w:szCs w:val="21"/>
        </w:rPr>
        <w:t xml:space="preserve">When setting or changing payroll deferral elections mid-year, recalculate the combined per-pay-period amount needed to land at the annual limit by year-end, rather than setting each bucket independently.</w:t>
      </w:r>
    </w:p>
    <w:p>
      <w:pPr>
        <w:pStyle w:val="ListParagraph"/>
        <w:numPr>
          <w:ilvl w:val="0"/>
          <w:numId w:val="2"/>
        </w:numPr>
        <w:spacing w:after="60" w:line="276"/>
      </w:pPr>
      <w:r>
        <w:rPr>
          <w:rFonts w:ascii="Calibri" w:cs="Calibri" w:eastAsia="Calibri" w:hAnsi="Calibri"/>
          <w:sz w:val="21"/>
          <w:szCs w:val="21"/>
        </w:rPr>
        <w:t xml:space="preserve">Catch an over-deferral as early in the year as possible — the earlier it is caught, the more remaining pay periods are available to dial the deferral rate back down to zero for the balance of the year, minimizing any need for a corrective distribution.</w:t>
      </w:r>
    </w:p>
    <w:p>
      <w:pPr>
        <w:pStyle w:val="ListParagraph"/>
        <w:numPr>
          <w:ilvl w:val="0"/>
          <w:numId w:val="2"/>
        </w:numPr>
        <w:spacing w:after="60" w:line="276"/>
      </w:pPr>
      <w:r>
        <w:rPr>
          <w:rFonts w:ascii="Calibri" w:cs="Calibri" w:eastAsia="Calibri" w:hAnsi="Calibri"/>
          <w:sz w:val="21"/>
          <w:szCs w:val="21"/>
        </w:rPr>
        <w:t xml:space="preserve">Remember this combined-limit rule applies across all 401(k)-type plans an individual contributes to in the same year, including a case where someone changes employers mid-year and deferred at both jobs — not just within a single employer's plan.</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owner sets up payroll deferral elections for both a traditional 401(k) contribution and a Roth 401(k) contribution as two separate ongoing amounts per pay period, intending to maximize tax-advantaged retirement savings. Partway through the year, a review of year-to-date payroll shows the combined traditional-plus-Roth deferral is on pace to land several thousand dollars above the annual limit — the two elections were sized independently rather than against a shared cap. The payroll deferral is immediately reduced for the remaining pay periods of the year so the combined total lands exactly at the annual limit, avoiding the double taxation and potential excise tax that an uncorrected excess deferral would trigger.</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This mistake tends to surface only when someone actually adds up both deferral streams together — reviewing either the traditional or the Roth contribution in isolation against the full annual limit looks perfectly fine, which is exactly how it goes unnoticed for months at a time.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100. Negotiating the Purchase-Price Allocation (Form 8594) to Maximize Capital-Gain Treatment on a Business Sale</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  ·  Individual / Investment</w:t>
      </w:r>
    </w:p>
    <w:p>
      <w:pPr>
        <w:spacing w:after="140" w:line="276"/>
      </w:pPr>
      <w:r>
        <w:rPr>
          <w:rFonts w:ascii="Calibri" w:cs="Calibri" w:eastAsia="Calibri" w:hAnsi="Calibri"/>
          <w:sz w:val="21"/>
          <w:szCs w:val="21"/>
        </w:rPr>
        <w:t xml:space="preserve">When a business is sold as an asset sale rather than a sale of stock or a membership interest, the total sale price is not taxed as a single lump sum — it must be allocated across specific categories of assets, each of which carries its own tax character. A dollar allocated to inventory or to certain ordinary-income assets is taxed very differently than a dollar allocated to goodwill, which generally qualifies for favorable long-term capital-gain treatment. Because the buyer and seller are required to report a consistent allocation to the IRS on Form 8594, and because the two sides often have opposing incentives on how that allocation is drawn, the negotiation over this allocation is frequently the single highest-value item in the entire transaction — often larger than any other deduction or credit available to the seller that year.</w:t>
      </w:r>
    </w:p>
    <w:p>
      <w:pPr>
        <w:pStyle w:val="Heading2"/>
        <w:spacing w:after="80" w:before="200"/>
      </w:pPr>
      <w:r>
        <w:rPr>
          <w:rFonts w:ascii="Calibri" w:cs="Calibri" w:eastAsia="Calibri" w:hAnsi="Calibri"/>
          <w:b/>
          <w:bCs/>
          <w:color w:val="2E5496"/>
          <w:sz w:val="24"/>
          <w:szCs w:val="24"/>
        </w:rPr>
        <w:t xml:space="preserve">Why the Allocation, Not Just the Price, Determines the Tax Bill</w:t>
      </w:r>
    </w:p>
    <w:p>
      <w:pPr>
        <w:spacing w:after="140" w:line="276"/>
      </w:pPr>
      <w:r>
        <w:rPr>
          <w:rFonts w:ascii="Calibri" w:cs="Calibri" w:eastAsia="Calibri" w:hAnsi="Calibri"/>
          <w:sz w:val="21"/>
          <w:szCs w:val="21"/>
        </w:rPr>
        <w:t xml:space="preserve">An asset sale requires the purchase price to be assigned across the standard categories the IRS uses for this purpose — cash and cash-equivalents, securities, accounts receivable, inventory, tangible depreciable property, intangibles, and finally goodwill and going-concern value as a residual category. Gain attributable to inventory and to depreciation recapture on tangible property is generally ordinary income, while gain attributable to goodwill is generally capital gain, taxed at the more favorable long-term capital gains rate for a seller who has held the underlying business for more than a year. The same total sale price can produce a dramatically different tax bill for the seller depending purely on how that price is distributed across these categories.</w:t>
      </w:r>
    </w:p>
    <w:p>
      <w:pPr>
        <w:spacing w:after="140" w:line="276"/>
      </w:pPr>
      <w:r>
        <w:rPr>
          <w:rFonts w:ascii="Calibri" w:cs="Calibri" w:eastAsia="Calibri" w:hAnsi="Calibri"/>
          <w:sz w:val="21"/>
          <w:szCs w:val="21"/>
        </w:rPr>
        <w:t xml:space="preserve">The buyer and seller frequently have opposite preferences here, which is exactly why the allocation is negotiated rather than simply computed. A buyer generally prefers to allocate more of the price to categories that generate faster tax deductions going forward — inventory that will be sold quickly, or tangible and intangible assets with shorter depreciation or amortization periods — because that accelerates the buyer's own future write-offs. A seller, by contrast, generally prefers to push as much of the price as possible into goodwill, since that portion is taxed at capital-gain rates rather than as ordinary income. Both parties are legally required to file Form 8594 using the same allocation, so this is a negotiated term of the deal, not an afterthought handled separately by each side's accountant after closing.</w:t>
      </w:r>
    </w:p>
    <w:p>
      <w:pPr>
        <w:spacing w:after="140" w:line="276"/>
      </w:pPr>
      <w:r>
        <w:rPr>
          <w:rFonts w:ascii="Calibri" w:cs="Calibri" w:eastAsia="Calibri" w:hAnsi="Calibri"/>
          <w:sz w:val="21"/>
          <w:szCs w:val="21"/>
        </w:rPr>
        <w:t xml:space="preserve">Beyond changing the rate on the sale itself, the allocation can also determine whether other tax attributes on the seller's return are usable at all. A seller who is carrying capital losses or capital-loss carryforwards from other activities can only use them to offset capital gains (plus a small annual amount against ordinary income) — so if the sale proceeds are allocated overwhelmingly to ordinary-income categories rather than goodwill, those existing capital losses may go largely unused in the sale year, even though the seller has real economic losses sitting on the books that could otherwise have sheltered a meaningful slice of the gain.</w:t>
      </w:r>
    </w:p>
    <w:p>
      <w:pPr>
        <w:pStyle w:val="ListParagraph"/>
        <w:numPr>
          <w:ilvl w:val="0"/>
          <w:numId w:val="2"/>
        </w:numPr>
        <w:spacing w:after="60" w:line="276"/>
      </w:pPr>
      <w:r>
        <w:rPr>
          <w:rFonts w:ascii="Calibri" w:cs="Calibri" w:eastAsia="Calibri" w:hAnsi="Calibri"/>
          <w:sz w:val="21"/>
          <w:szCs w:val="21"/>
        </w:rPr>
        <w:t xml:space="preserve">Before signing a letter of intent or purchase agreement for an asset sale, model the tax outcome under a range of plausible allocations — not just the headline price — so the seller understands what is actually at stake in the allocation negotiation.</w:t>
      </w:r>
    </w:p>
    <w:p>
      <w:pPr>
        <w:pStyle w:val="ListParagraph"/>
        <w:numPr>
          <w:ilvl w:val="0"/>
          <w:numId w:val="2"/>
        </w:numPr>
        <w:spacing w:after="60" w:line="276"/>
      </w:pPr>
      <w:r>
        <w:rPr>
          <w:rFonts w:ascii="Calibri" w:cs="Calibri" w:eastAsia="Calibri" w:hAnsi="Calibri"/>
          <w:sz w:val="21"/>
          <w:szCs w:val="21"/>
        </w:rPr>
        <w:t xml:space="preserve">Push to negotiate the allocation explicitly as a term of the deal, ideally before the purchase agreement is finalized, rather than leaving it to be worked out separately after closing when each side's leverage to change it is much weaker.</w:t>
      </w:r>
    </w:p>
    <w:p>
      <w:pPr>
        <w:pStyle w:val="ListParagraph"/>
        <w:numPr>
          <w:ilvl w:val="0"/>
          <w:numId w:val="2"/>
        </w:numPr>
        <w:spacing w:after="60" w:line="276"/>
      </w:pPr>
      <w:r>
        <w:rPr>
          <w:rFonts w:ascii="Calibri" w:cs="Calibri" w:eastAsia="Calibri" w:hAnsi="Calibri"/>
          <w:sz w:val="21"/>
          <w:szCs w:val="21"/>
        </w:rPr>
        <w:t xml:space="preserve">If the seller is carrying capital losses or capital-loss carryforwards from unrelated activities, check whether the proposed allocation generates enough capital gain to actually absorb them — an allocation weighted toward ordinary-income categories can leave real losses unused in the sale year.</w:t>
      </w:r>
    </w:p>
    <w:p>
      <w:pPr>
        <w:pStyle w:val="ListParagraph"/>
        <w:numPr>
          <w:ilvl w:val="0"/>
          <w:numId w:val="2"/>
        </w:numPr>
        <w:spacing w:after="60" w:line="276"/>
      </w:pPr>
      <w:r>
        <w:rPr>
          <w:rFonts w:ascii="Calibri" w:cs="Calibri" w:eastAsia="Calibri" w:hAnsi="Calibri"/>
          <w:sz w:val="21"/>
          <w:szCs w:val="21"/>
        </w:rPr>
        <w:t xml:space="preserve">Confirm that both the buyer and seller intend to file Form 8594 using the identical allocation — a mismatch between the two returns is a straightforward audit flag for both parties.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owner sells the operating assets of her company for $2,000,000. The buyer's initial draft allocates $1,400,000 to depreciable equipment and inventory (ordinary income to the seller, since equipment basis is largely depreciated out) and only $600,000 to goodwill (capital gain). Under that allocation, the seller owes ordinary-rate tax on $1,400,000 (roughly $518,000 at a 37% rate) plus capital-gains tax on $600,000 (roughly $143,000 at 23.8%) — a combined $661,000. The seller is also carrying a $400,000 capital-loss carryforward from an unrelated investment account, but that loss can only offset capital gain, and the $600,000 of goodwill gain in the initial allocation leaves $400,000 of it usable, sheltering $95,000 of the capital-gains tax. During negotiation, the seller pushes the allocation to $700,000 equipment/inventory and $1,300,000 goodwill instead: ordinary tax drops to roughly $259,000 (on $700,000), capital-gains tax on $1,300,000 is roughly $310,000 before the loss offset, and the full $400,000 capital-loss carryforward is now available against the larger capital gain, sheltering $95,000 regardless — but because more of the total price now sits in the lower-taxed capital-gain bucket rather than the higher-taxed ordinary bucket, total tax after the loss offset drops to roughly $474,000, a savings of about $92,000 in tax on the identical $2,000,000 sale price, achieved purely by renegotiating the allocation table before signing rather than after.</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101. Adopting a Retroactive Retirement Plan by the Extended Filing Deadline (SECURE 2.0)</w:t>
      </w:r>
    </w:p>
    <w:p>
      <w:pPr>
        <w:spacing w:after="160"/>
      </w:pPr>
      <w:r>
        <w:rPr>
          <w:rFonts w:ascii="Calibri" w:cs="Calibri" w:eastAsia="Calibri" w:hAnsi="Calibri"/>
          <w:b/>
          <w:bCs/>
          <w:color w:val="595959"/>
          <w:sz w:val="18"/>
          <w:szCs w:val="18"/>
        </w:rPr>
        <w:t xml:space="preserve">Applies to: </w:t>
      </w:r>
      <w:r>
        <w:rPr>
          <w:rFonts w:ascii="Calibri" w:cs="Calibri" w:eastAsia="Calibri" w:hAnsi="Calibri"/>
          <w:color w:val="595959"/>
          <w:sz w:val="18"/>
          <w:szCs w:val="18"/>
        </w:rPr>
        <w:t xml:space="preserve">Cross-Entity / General Business  ·  Individual / Investment</w:t>
      </w:r>
    </w:p>
    <w:p>
      <w:pPr>
        <w:spacing w:after="140" w:line="276"/>
      </w:pPr>
      <w:r>
        <w:rPr>
          <w:rFonts w:ascii="Calibri" w:cs="Calibri" w:eastAsia="Calibri" w:hAnsi="Calibri"/>
          <w:sz w:val="21"/>
          <w:szCs w:val="21"/>
        </w:rPr>
        <w:t xml:space="preserve">A business that reaches its tax filing deadline without having adopted a retirement plan has not necessarily lost the opportunity to generate a retirement-plan deduction for the year that just ended. A provision enacted as part of the SECURE 2.0 Act allows certain employer retirement plans to be adopted after the close of the tax year — as late as the extended due date of the business's tax return — and still be treated, for deduction purposes, as if the plan had been in effect on the last day of that prior year. This turns a retirement plan from something that must be decided and running before December 31 into a lever that can still be pulled well into the following year, as long as the business is on extension.</w:t>
      </w:r>
    </w:p>
    <w:p>
      <w:pPr>
        <w:pStyle w:val="Heading2"/>
        <w:spacing w:after="80" w:before="200"/>
      </w:pPr>
      <w:r>
        <w:rPr>
          <w:rFonts w:ascii="Calibri" w:cs="Calibri" w:eastAsia="Calibri" w:hAnsi="Calibri"/>
          <w:b/>
          <w:bCs/>
          <w:color w:val="2E5496"/>
          <w:sz w:val="24"/>
          <w:szCs w:val="24"/>
        </w:rPr>
        <w:t xml:space="preserve">How the Lookback Election Works</w:t>
      </w:r>
    </w:p>
    <w:p>
      <w:pPr>
        <w:spacing w:after="140" w:line="276"/>
      </w:pPr>
      <w:r>
        <w:rPr>
          <w:rFonts w:ascii="Calibri" w:cs="Calibri" w:eastAsia="Calibri" w:hAnsi="Calibri"/>
          <w:sz w:val="21"/>
          <w:szCs w:val="21"/>
        </w:rPr>
        <w:t xml:space="preserve">Under the traditional rule, an employer retirement plan generally had to be adopted by the last day of the tax year it was meant to cover in order to generate a deduction for that year — a business that decided in February that it wanted a retirement-plan deduction for the prior year was simply out of luck, because the plan did not exist during the year in question. The SECURE 2.0 provision changes this for certain types of employer plans by allowing the plan to be adopted after year-end, up through the extended due date of the employer's tax return, while still being treated as adopted on the last day of the prior tax year for purposes of the employer contribution deduction.</w:t>
      </w:r>
    </w:p>
    <w:p>
      <w:pPr>
        <w:spacing w:after="140" w:line="276"/>
      </w:pPr>
      <w:r>
        <w:rPr>
          <w:rFonts w:ascii="Calibri" w:cs="Calibri" w:eastAsia="Calibri" w:hAnsi="Calibri"/>
          <w:sz w:val="21"/>
          <w:szCs w:val="21"/>
        </w:rPr>
        <w:t xml:space="preserve">This effectively converts the year-end retirement-plan decision into a much later one, tied to the extension deadline rather than the calendar year-end — which is significant because a business often does not know its actual full-year profit, and therefore how large a retirement contribution makes sense, until well after December 31. A business that files on extension can wait until it has a clear final profit number, then decide how large a plan and contribution to establish, and still capture the deduction against the prior year's income.</w:t>
      </w:r>
    </w:p>
    <w:p>
      <w:pPr>
        <w:spacing w:after="140" w:line="276"/>
      </w:pPr>
      <w:r>
        <w:rPr>
          <w:rFonts w:ascii="Calibri" w:cs="Calibri" w:eastAsia="Calibri" w:hAnsi="Calibri"/>
          <w:sz w:val="21"/>
          <w:szCs w:val="21"/>
        </w:rPr>
        <w:t xml:space="preserve">This is a cash-flow-friendly lever precisely because the decision and the funding can be deferred to when the business has the most complete financial picture and the most certainty about available cash — rather than being forced to commit to a plan design and contribution amount in December based on incomplete year-end numbers. The tradeoff is that this retroactive adoption applies to certain employer contribution structures and not to every type of arrangement (a plan that depends on employee salary-deferral elections generally cannot be adopted retroactively for the deferral component, since the employee never had the opportunity to elect to defer wages that were already paid), so the specific plan design matters to whether the retroactive election is actually available.</w:t>
      </w:r>
    </w:p>
    <w:p>
      <w:pPr>
        <w:pStyle w:val="ListParagraph"/>
        <w:numPr>
          <w:ilvl w:val="0"/>
          <w:numId w:val="2"/>
        </w:numPr>
        <w:spacing w:after="60" w:line="276"/>
      </w:pPr>
      <w:r>
        <w:rPr>
          <w:rFonts w:ascii="Calibri" w:cs="Calibri" w:eastAsia="Calibri" w:hAnsi="Calibri"/>
          <w:sz w:val="21"/>
          <w:szCs w:val="21"/>
        </w:rPr>
        <w:t xml:space="preserve">Do not assume a missed December 31 retirement-plan deadline forecloses a deduction for that year — check whether the plan type under consideration qualifies for the SECURE 2.0 retroactive-adoption election before ruling it out.</w:t>
      </w:r>
    </w:p>
    <w:p>
      <w:pPr>
        <w:pStyle w:val="ListParagraph"/>
        <w:numPr>
          <w:ilvl w:val="0"/>
          <w:numId w:val="2"/>
        </w:numPr>
        <w:spacing w:after="60" w:line="276"/>
      </w:pPr>
      <w:r>
        <w:rPr>
          <w:rFonts w:ascii="Calibri" w:cs="Calibri" w:eastAsia="Calibri" w:hAnsi="Calibri"/>
          <w:sz w:val="21"/>
          <w:szCs w:val="21"/>
        </w:rPr>
        <w:t xml:space="preserve">File an extension if a retroactive plan adoption is being considered, since the adoption window runs to the extended due date of the return, not the original unextended deadline.</w:t>
      </w:r>
    </w:p>
    <w:p>
      <w:pPr>
        <w:pStyle w:val="ListParagraph"/>
        <w:numPr>
          <w:ilvl w:val="0"/>
          <w:numId w:val="2"/>
        </w:numPr>
        <w:spacing w:after="60" w:line="276"/>
      </w:pPr>
      <w:r>
        <w:rPr>
          <w:rFonts w:ascii="Calibri" w:cs="Calibri" w:eastAsia="Calibri" w:hAnsi="Calibri"/>
          <w:sz w:val="21"/>
          <w:szCs w:val="21"/>
        </w:rPr>
        <w:t xml:space="preserve">Wait until full-year profit is reasonably certain before finalizing the plan design and contribution amount — the entire value of this lever is being able to decide with better information than was available at year-end.</w:t>
      </w:r>
    </w:p>
    <w:p>
      <w:pPr>
        <w:pStyle w:val="ListParagraph"/>
        <w:numPr>
          <w:ilvl w:val="0"/>
          <w:numId w:val="2"/>
        </w:numPr>
        <w:spacing w:after="60" w:line="276"/>
      </w:pPr>
      <w:r>
        <w:rPr>
          <w:rFonts w:ascii="Calibri" w:cs="Calibri" w:eastAsia="Calibri" w:hAnsi="Calibri"/>
          <w:sz w:val="21"/>
          <w:szCs w:val="21"/>
        </w:rPr>
        <w:t xml:space="preserve">Confirm the specific plan type under consideration is one that permits retroactive employer-contribution adoption — arrangements built around employee salary deferrals generally do not allow the deferral portion to be added after the fact, only the employer-contribution portion.</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profitable business closes out its fiscal year with no retirement plan in place, having been too consumed with operations during the year to evaluate one. Because the business files its return on extension, it uses the months after year-end — once full-year profit is finalized — to evaluate and adopt an employer-funded retirement plan, sized to the actual profit figure now known rather than a year-end estimate. Because the plan is adopted before the extended due date of the return, it is treated as if it had been in place on the last day of the prior tax year, and the employer contribution generates a deduction against that year's income even though the plan itself did not exist during the year it is deducted against.</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The upside of this election is real, but it is also easy to let the window quietly close — because the deadline is tied to the extension rather than to year-end, a business that is not specifically tracking it can simply let the extended due date pass without ever revisiting the decision.</w:t>
      </w:r>
    </w:p>
    <w:p>
      <w:r>
        <w:br w:type="page"/>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Tax Strategies — Reference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2026-09-08T11:53:26.227Z</dcterms:created>
  <dcterms:modified xsi:type="dcterms:W3CDTF">2026-09-08T11:53:26.241Z</dcterms:modified>
</cp:coreProperties>
</file>

<file path=docProps/custom.xml><?xml version="1.0" encoding="utf-8"?>
<Properties xmlns="http://schemas.openxmlformats.org/officeDocument/2006/custom-properties" xmlns:vt="http://schemas.openxmlformats.org/officeDocument/2006/docPropsVTypes"/>
</file>