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pPr>
        <w:pStyle w:val="Heading2"/>
        <w:spacing w:after="80" w:before="200"/>
      </w:pPr>
      <w:r>
        <w:rPr>
          <w:rFonts w:ascii="Calibri" w:cs="Calibri" w:eastAsia="Calibri" w:hAnsi="Calibri"/>
          <w:b/>
          <w:bCs/>
          <w:color w:val="2E5496"/>
          <w:sz w:val="24"/>
          <w:szCs w:val="24"/>
        </w:rPr>
        <w:t xml:space="preserve">Real Estate &amp; Property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S-Corporation Strategy</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6081 — extension of time for filing returns</w:t>
      </w:r>
    </w:p>
    <w:p>
      <w:pPr>
        <w:pStyle w:val="ListParagraph"/>
        <w:numPr>
          <w:ilvl w:val="0"/>
          <w:numId w:val="2"/>
        </w:numPr>
        <w:spacing w:after="60" w:line="276"/>
      </w:pPr>
      <w:r>
        <w:rPr>
          <w:rFonts w:ascii="Calibri" w:cs="Calibri" w:eastAsia="Calibri" w:hAnsi="Calibri"/>
          <w:sz w:val="21"/>
          <w:szCs w:val="21"/>
        </w:rPr>
        <w:t xml:space="preserve">Rev. Rul. 78-256 — superseding returns</w:t>
      </w:r>
    </w:p>
    <w:p>
      <w:pPr>
        <w:spacing w:after="120"/>
      </w:pP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267(a)(2) — matching of deduction and inclusion for related-party payments</w:t>
      </w:r>
    </w:p>
    <w:p>
      <w:pPr>
        <w:pStyle w:val="ListParagraph"/>
        <w:numPr>
          <w:ilvl w:val="0"/>
          <w:numId w:val="2"/>
        </w:numPr>
        <w:spacing w:after="60" w:line="276"/>
      </w:pPr>
      <w:r>
        <w:rPr>
          <w:rFonts w:ascii="Calibri" w:cs="Calibri" w:eastAsia="Calibri" w:hAnsi="Calibri"/>
          <w:sz w:val="21"/>
          <w:szCs w:val="21"/>
        </w:rPr>
        <w:t xml:space="preserve">Treas. Reg. § 1.267(a)-1</w:t>
      </w:r>
    </w:p>
    <w:p>
      <w:pPr>
        <w:spacing w:after="120"/>
      </w:pP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1563 — controlled group definitions and attribution rules</w:t>
      </w:r>
    </w:p>
    <w:p>
      <w:pPr>
        <w:pStyle w:val="ListParagraph"/>
        <w:numPr>
          <w:ilvl w:val="0"/>
          <w:numId w:val="2"/>
        </w:numPr>
        <w:spacing w:after="60" w:line="276"/>
      </w:pPr>
      <w:r>
        <w:rPr>
          <w:rFonts w:ascii="Calibri" w:cs="Calibri" w:eastAsia="Calibri" w:hAnsi="Calibri"/>
          <w:sz w:val="21"/>
          <w:szCs w:val="21"/>
        </w:rPr>
        <w:t xml:space="preserve">IRC § 414(m) — affiliated service groups</w:t>
      </w:r>
    </w:p>
    <w:p>
      <w:pPr>
        <w:pStyle w:val="ListParagraph"/>
        <w:numPr>
          <w:ilvl w:val="0"/>
          <w:numId w:val="2"/>
        </w:numPr>
        <w:spacing w:after="60" w:line="276"/>
      </w:pPr>
      <w:r>
        <w:rPr>
          <w:rFonts w:ascii="Calibri" w:cs="Calibri" w:eastAsia="Calibri" w:hAnsi="Calibri"/>
          <w:sz w:val="21"/>
          <w:szCs w:val="21"/>
        </w:rPr>
        <w:t xml:space="preserve">IRC § 414(b) and (c) — controlled group aggregation for qualified plan purposes</w:t>
      </w:r>
    </w:p>
    <w:p>
      <w:pPr>
        <w:spacing w:after="120"/>
      </w:pP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704(d) — limitation on allowance of partner's share of loss</w:t>
      </w:r>
    </w:p>
    <w:p>
      <w:pPr>
        <w:pStyle w:val="ListParagraph"/>
        <w:numPr>
          <w:ilvl w:val="0"/>
          <w:numId w:val="2"/>
        </w:numPr>
        <w:spacing w:after="60" w:line="276"/>
      </w:pPr>
      <w:r>
        <w:rPr>
          <w:rFonts w:ascii="Calibri" w:cs="Calibri" w:eastAsia="Calibri" w:hAnsi="Calibri"/>
          <w:sz w:val="21"/>
          <w:szCs w:val="21"/>
        </w:rPr>
        <w:t xml:space="preserve">IRC § 705 — determination of basis of partner's interest</w:t>
      </w:r>
    </w:p>
    <w:p>
      <w:pPr>
        <w:spacing w:after="120"/>
      </w:pP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resident-credit statutes for taxes paid to other states (varies by state)</w:t>
      </w:r>
    </w:p>
    <w:p>
      <w:pPr>
        <w:pStyle w:val="ListParagraph"/>
        <w:numPr>
          <w:ilvl w:val="0"/>
          <w:numId w:val="2"/>
        </w:numPr>
        <w:spacing w:after="60" w:line="276"/>
      </w:pPr>
      <w:r>
        <w:rPr>
          <w:rFonts w:ascii="Calibri" w:cs="Calibri" w:eastAsia="Calibri" w:hAnsi="Calibri"/>
          <w:sz w:val="21"/>
          <w:szCs w:val="21"/>
        </w:rPr>
        <w:t xml:space="preserve">Multistate Tax Compact and reciprocity agreements (where applicable)</w:t>
      </w:r>
    </w:p>
    <w:p>
      <w:pPr>
        <w:spacing w:after="120"/>
      </w:pP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7872 — treatment of loans with below-market interest rates</w:t>
      </w:r>
    </w:p>
    <w:p>
      <w:pPr>
        <w:pStyle w:val="ListParagraph"/>
        <w:numPr>
          <w:ilvl w:val="0"/>
          <w:numId w:val="2"/>
        </w:numPr>
        <w:spacing w:after="60" w:line="276"/>
      </w:pPr>
      <w:r>
        <w:rPr>
          <w:rFonts w:ascii="Calibri" w:cs="Calibri" w:eastAsia="Calibri" w:hAnsi="Calibri"/>
          <w:sz w:val="21"/>
          <w:szCs w:val="21"/>
        </w:rPr>
        <w:t xml:space="preserve">IRS Applicable Federal Rates (AFR), published monthly</w:t>
      </w:r>
    </w:p>
    <w:p>
      <w:pPr>
        <w:spacing w:after="120"/>
      </w:pP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&amp; Property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 — losses, expenses, and interest with respect to transactions between related taxpayers</w:t>
      </w:r>
    </w:p>
    <w:p>
      <w:pPr>
        <w:pStyle w:val="ListParagraph"/>
        <w:numPr>
          <w:ilvl w:val="0"/>
          <w:numId w:val="2"/>
        </w:numPr>
        <w:spacing w:after="60" w:line="276"/>
      </w:pPr>
      <w:r>
        <w:rPr>
          <w:rFonts w:ascii="Calibri" w:cs="Calibri" w:eastAsia="Calibri" w:hAnsi="Calibri"/>
          <w:sz w:val="21"/>
          <w:szCs w:val="21"/>
        </w:rPr>
        <w:t xml:space="preserve">IRC § 168(k) — bonus depreciation eligibility requirements (the "acquired from an unrelated party" test)</w:t>
      </w:r>
    </w:p>
    <w:p>
      <w:pPr>
        <w:pStyle w:val="ListParagraph"/>
        <w:numPr>
          <w:ilvl w:val="0"/>
          <w:numId w:val="2"/>
        </w:numPr>
        <w:spacing w:after="60" w:line="276"/>
      </w:pPr>
      <w:r>
        <w:rPr>
          <w:rFonts w:ascii="Calibri" w:cs="Calibri" w:eastAsia="Calibri" w:hAnsi="Calibri"/>
          <w:sz w:val="21"/>
          <w:szCs w:val="21"/>
        </w:rPr>
        <w:t xml:space="preserve">IRC § 179 — election to expense certain depreciable business assets</w:t>
      </w:r>
    </w:p>
    <w:p>
      <w:pPr>
        <w:spacing w:after="120"/>
      </w:pP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Strategy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1366 and § 1372 — S corporation shareholder compensation treatment</w:t>
      </w:r>
    </w:p>
    <w:p>
      <w:pPr>
        <w:pStyle w:val="ListParagraph"/>
        <w:numPr>
          <w:ilvl w:val="0"/>
          <w:numId w:val="2"/>
        </w:numPr>
        <w:spacing w:after="60" w:line="276"/>
      </w:pPr>
      <w:r>
        <w:rPr>
          <w:rFonts w:ascii="Calibri" w:cs="Calibri" w:eastAsia="Calibri" w:hAnsi="Calibri"/>
          <w:sz w:val="21"/>
          <w:szCs w:val="21"/>
        </w:rPr>
        <w:t xml:space="preserve">IRS reasonable compensation guidance for S corporation officers</w:t>
      </w:r>
    </w:p>
    <w:p>
      <w:pPr>
        <w:pStyle w:val="ListParagraph"/>
        <w:numPr>
          <w:ilvl w:val="0"/>
          <w:numId w:val="2"/>
        </w:numPr>
        <w:spacing w:after="60" w:line="276"/>
      </w:pPr>
      <w:r>
        <w:rPr>
          <w:rFonts w:ascii="Calibri" w:cs="Calibri" w:eastAsia="Calibri" w:hAnsi="Calibri"/>
          <w:sz w:val="21"/>
          <w:szCs w:val="21"/>
        </w:rPr>
        <w:t xml:space="preserve">IRC § 1401 — self-employment tax</w:t>
      </w:r>
    </w:p>
    <w:p>
      <w:pPr>
        <w:spacing w:after="120"/>
      </w:pP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 limitation on exclusion for elective deferrals</w:t>
      </w:r>
    </w:p>
    <w:p>
      <w:pPr>
        <w:pStyle w:val="ListParagraph"/>
        <w:numPr>
          <w:ilvl w:val="0"/>
          <w:numId w:val="2"/>
        </w:numPr>
        <w:spacing w:after="60" w:line="276"/>
      </w:pPr>
      <w:r>
        <w:rPr>
          <w:rFonts w:ascii="Calibri" w:cs="Calibri" w:eastAsia="Calibri" w:hAnsi="Calibri"/>
          <w:sz w:val="21"/>
          <w:szCs w:val="21"/>
        </w:rPr>
        <w:t xml:space="preserve">IRS annual retirement plan contribution limit notices</w:t>
      </w:r>
    </w:p>
    <w:p>
      <w:pPr>
        <w:spacing w:after="120"/>
      </w:pP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1060 — special allocation rules for certain asset acquisitions</w:t>
      </w:r>
    </w:p>
    <w:p>
      <w:pPr>
        <w:pStyle w:val="ListParagraph"/>
        <w:numPr>
          <w:ilvl w:val="0"/>
          <w:numId w:val="2"/>
        </w:numPr>
        <w:spacing w:after="60" w:line="276"/>
      </w:pPr>
      <w:r>
        <w:rPr>
          <w:rFonts w:ascii="Calibri" w:cs="Calibri" w:eastAsia="Calibri" w:hAnsi="Calibri"/>
          <w:sz w:val="21"/>
          <w:szCs w:val="21"/>
        </w:rPr>
        <w:t xml:space="preserve">Form 8594 — Asset Acquisition Statement Under Section 1060</w:t>
      </w:r>
    </w:p>
    <w:p>
      <w:pPr>
        <w:pStyle w:val="ListParagraph"/>
        <w:numPr>
          <w:ilvl w:val="0"/>
          <w:numId w:val="2"/>
        </w:numPr>
        <w:spacing w:after="60" w:line="276"/>
      </w:pPr>
      <w:r>
        <w:rPr>
          <w:rFonts w:ascii="Calibri" w:cs="Calibri" w:eastAsia="Calibri" w:hAnsi="Calibri"/>
          <w:sz w:val="21"/>
          <w:szCs w:val="21"/>
        </w:rPr>
        <w:t xml:space="preserve">IRC § 1221 and § 1231 — capital asset and business-property gain characterization</w:t>
      </w:r>
    </w:p>
    <w:p>
      <w:pPr>
        <w:spacing w:after="120"/>
      </w:pP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the business for a lump-sum price. The buyer's initial draft purchase agreement allocates the large majority of the price to depreciable tangible assets and inventory, since that lets the buyer begin depreciating and expensing the purchase quickly. Because those categories are taxed as ordinary income to the seller, and the seller is separately carrying capital losses from an unrelated investment account, the initial allocation would tax most of the sale at ordinary rates while leaving the seller's capital losses largely unused. During negotiation, the seller pushes for a larger share of the price to be allocated to goodwill instead, which is taxed at capital-gain rates and allows the existing capital losses to offset a meaningful portion of the gain — materially lowering the seller's total tax on the transaction without changing the total sale price at all.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negotiation that is easy to lose by default — if a seller's advisor is not brought in before the purchase agreement is drafted, the allocation table can arrive already built around the buyer's preferences, at which point renegotiating it costs real leverage rather than being a simple ask.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SECURE 2.0 Act of 2022, § 201 — retroactive first-year employer retirement plan election</w:t>
      </w:r>
    </w:p>
    <w:p>
      <w:pPr>
        <w:pStyle w:val="ListParagraph"/>
        <w:numPr>
          <w:ilvl w:val="0"/>
          <w:numId w:val="2"/>
        </w:numPr>
        <w:spacing w:after="60" w:line="276"/>
      </w:pPr>
      <w:r>
        <w:rPr>
          <w:rFonts w:ascii="Calibri" w:cs="Calibri" w:eastAsia="Calibri" w:hAnsi="Calibri"/>
          <w:sz w:val="21"/>
          <w:szCs w:val="21"/>
        </w:rPr>
        <w:t xml:space="preserve">IRC § 401(b) — employer plan adoption deadline rules</w:t>
      </w:r>
    </w:p>
    <w:p>
      <w:pPr>
        <w:spacing w:after="120"/>
      </w:pP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2026-09-05T14:05:57.799Z</dcterms:created>
  <dcterms:modified xsi:type="dcterms:W3CDTF">2026-09-05T14:05:57.800Z</dcterms:modified>
</cp:coreProperties>
</file>

<file path=docProps/custom.xml><?xml version="1.0" encoding="utf-8"?>
<Properties xmlns="http://schemas.openxmlformats.org/officeDocument/2006/custom-properties" xmlns:vt="http://schemas.openxmlformats.org/officeDocument/2006/docPropsVTypes"/>
</file>