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83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IRC § 1371(a) — general rule that C-corporation rules apply once an S election ends</w:t>
      </w:r>
    </w:p>
    <w:p>
      <w:pPr>
        <w:pStyle w:val="ListParagraph"/>
        <w:numPr>
          <w:ilvl w:val="0"/>
          <w:numId w:val="2"/>
        </w:numPr>
        <w:spacing w:after="60" w:line="276"/>
      </w:pPr>
      <w:r>
        <w:rPr>
          <w:rFonts w:ascii="Calibri" w:cs="Calibri" w:eastAsia="Calibri" w:hAnsi="Calibri"/>
          <w:sz w:val="21"/>
          <w:szCs w:val="21"/>
        </w:rPr>
        <w:t xml:space="preserve">IRC § 316 and § 301 — dividend distributions from a C corporation</w:t>
      </w:r>
    </w:p>
    <w:p>
      <w:pPr>
        <w:spacing w:after="120"/>
      </w:pP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263(c) — intangible drilling and development costs</w:t>
      </w:r>
    </w:p>
    <w:p>
      <w:pPr>
        <w:pStyle w:val="ListParagraph"/>
        <w:numPr>
          <w:ilvl w:val="0"/>
          <w:numId w:val="2"/>
        </w:numPr>
        <w:spacing w:after="60" w:line="276"/>
      </w:pPr>
      <w:r>
        <w:rPr>
          <w:rFonts w:ascii="Calibri" w:cs="Calibri" w:eastAsia="Calibri" w:hAnsi="Calibri"/>
          <w:sz w:val="21"/>
          <w:szCs w:val="21"/>
        </w:rPr>
        <w:t xml:space="preserve">IRC § 469(c)(3) — working interests exempted from the passive-activity rules</w:t>
      </w:r>
    </w:p>
    <w:p>
      <w:pPr>
        <w:pStyle w:val="ListParagraph"/>
        <w:numPr>
          <w:ilvl w:val="0"/>
          <w:numId w:val="2"/>
        </w:numPr>
        <w:spacing w:after="60" w:line="276"/>
      </w:pPr>
      <w:r>
        <w:rPr>
          <w:rFonts w:ascii="Calibri" w:cs="Calibri" w:eastAsia="Calibri" w:hAnsi="Calibri"/>
          <w:sz w:val="21"/>
          <w:szCs w:val="21"/>
        </w:rPr>
        <w:t xml:space="preserve">Treas. Reg. § 1.612-4</w:t>
      </w:r>
    </w:p>
    <w:p>
      <w:pPr>
        <w:spacing w:after="120"/>
      </w:pP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531–537 — the accumulated earnings tax</w:t>
      </w:r>
    </w:p>
    <w:p>
      <w:pPr>
        <w:pStyle w:val="ListParagraph"/>
        <w:numPr>
          <w:ilvl w:val="0"/>
          <w:numId w:val="2"/>
        </w:numPr>
        <w:spacing w:after="60" w:line="276"/>
      </w:pPr>
      <w:r>
        <w:rPr>
          <w:rFonts w:ascii="Calibri" w:cs="Calibri" w:eastAsia="Calibri" w:hAnsi="Calibri"/>
          <w:sz w:val="21"/>
          <w:szCs w:val="21"/>
        </w:rPr>
        <w:t xml:space="preserve">Treas. Reg. § 1.537-1 — reasonable needs of the business</w:t>
      </w:r>
    </w:p>
    <w:p>
      <w:pPr>
        <w:spacing w:after="120"/>
      </w:pP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1(h) — capital gains rate structure</w:t>
      </w:r>
    </w:p>
    <w:p>
      <w:pPr>
        <w:pStyle w:val="ListParagraph"/>
        <w:numPr>
          <w:ilvl w:val="0"/>
          <w:numId w:val="2"/>
        </w:numPr>
        <w:spacing w:after="60" w:line="276"/>
      </w:pPr>
      <w:r>
        <w:rPr>
          <w:rFonts w:ascii="Calibri" w:cs="Calibri" w:eastAsia="Calibri" w:hAnsi="Calibri"/>
          <w:sz w:val="21"/>
          <w:szCs w:val="21"/>
        </w:rPr>
        <w:t xml:space="preserve">IRC § 1012 and Treas. Reg. § 1.1012-1 — basis and lot identification</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spacing w:after="120"/>
      </w:pP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2501–2504 — gift tax</w:t>
      </w:r>
    </w:p>
    <w:p>
      <w:pPr>
        <w:pStyle w:val="ListParagraph"/>
        <w:numPr>
          <w:ilvl w:val="0"/>
          <w:numId w:val="2"/>
        </w:numPr>
        <w:spacing w:after="60" w:line="276"/>
      </w:pPr>
      <w:r>
        <w:rPr>
          <w:rFonts w:ascii="Calibri" w:cs="Calibri" w:eastAsia="Calibri" w:hAnsi="Calibri"/>
          <w:sz w:val="21"/>
          <w:szCs w:val="21"/>
        </w:rPr>
        <w:t xml:space="preserve">IRC § 2631 — generation-skipping transfer tax exemption</w:t>
      </w:r>
    </w:p>
    <w:p>
      <w:pPr>
        <w:pStyle w:val="ListParagraph"/>
        <w:numPr>
          <w:ilvl w:val="0"/>
          <w:numId w:val="2"/>
        </w:numPr>
        <w:spacing w:after="60" w:line="276"/>
      </w:pPr>
      <w:r>
        <w:rPr>
          <w:rFonts w:ascii="Calibri" w:cs="Calibri" w:eastAsia="Calibri" w:hAnsi="Calibri"/>
          <w:sz w:val="21"/>
          <w:szCs w:val="21"/>
        </w:rPr>
        <w:t xml:space="preserve">IRC § 2503(b) — annual gift-tax exclusion</w:t>
      </w:r>
    </w:p>
    <w:p>
      <w:pPr>
        <w:spacing w:after="120"/>
      </w:pP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168(g)(1)(A) — required use of the alternative depreciation system for foreign-use property</w:t>
      </w:r>
    </w:p>
    <w:p>
      <w:pPr>
        <w:pStyle w:val="ListParagraph"/>
        <w:numPr>
          <w:ilvl w:val="0"/>
          <w:numId w:val="2"/>
        </w:numPr>
        <w:spacing w:after="60" w:line="276"/>
      </w:pPr>
      <w:r>
        <w:rPr>
          <w:rFonts w:ascii="Calibri" w:cs="Calibri" w:eastAsia="Calibri" w:hAnsi="Calibri"/>
          <w:sz w:val="21"/>
          <w:szCs w:val="21"/>
        </w:rPr>
        <w:t xml:space="preserve">IRC § 1031(h) — foreign real property not treated as like-kind to U.S. real property</w:t>
      </w:r>
    </w:p>
    <w:p>
      <w:pPr>
        <w:spacing w:after="120"/>
      </w:pP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409A — nonqualified deferred compensation plans</w:t>
      </w:r>
    </w:p>
    <w:p>
      <w:pPr>
        <w:pStyle w:val="ListParagraph"/>
        <w:numPr>
          <w:ilvl w:val="0"/>
          <w:numId w:val="2"/>
        </w:numPr>
        <w:spacing w:after="60" w:line="276"/>
      </w:pPr>
      <w:r>
        <w:rPr>
          <w:rFonts w:ascii="Calibri" w:cs="Calibri" w:eastAsia="Calibri" w:hAnsi="Calibri"/>
          <w:sz w:val="21"/>
          <w:szCs w:val="21"/>
        </w:rPr>
        <w:t xml:space="preserve">Treas. Reg. § 1.409A-3 — permissible distribution events and timing</w:t>
      </w:r>
    </w:p>
    <w:p>
      <w:pPr>
        <w:spacing w:after="120"/>
      </w:pP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183 — activities not engaged in for profit ("hobby loss" rules)</w:t>
      </w:r>
    </w:p>
    <w:p>
      <w:pPr>
        <w:pStyle w:val="ListParagraph"/>
        <w:numPr>
          <w:ilvl w:val="0"/>
          <w:numId w:val="2"/>
        </w:numPr>
        <w:spacing w:after="60" w:line="276"/>
      </w:pPr>
      <w:r>
        <w:rPr>
          <w:rFonts w:ascii="Calibri" w:cs="Calibri" w:eastAsia="Calibri" w:hAnsi="Calibri"/>
          <w:sz w:val="21"/>
          <w:szCs w:val="21"/>
        </w:rPr>
        <w:t xml:space="preserve">IRC § 162 — trade or business expenses</w:t>
      </w:r>
    </w:p>
    <w:p>
      <w:pPr>
        <w:pStyle w:val="ListParagraph"/>
        <w:numPr>
          <w:ilvl w:val="0"/>
          <w:numId w:val="2"/>
        </w:numPr>
        <w:spacing w:after="60" w:line="276"/>
      </w:pPr>
      <w:r>
        <w:rPr>
          <w:rFonts w:ascii="Calibri" w:cs="Calibri" w:eastAsia="Calibri" w:hAnsi="Calibri"/>
          <w:sz w:val="21"/>
          <w:szCs w:val="21"/>
        </w:rPr>
        <w:t xml:space="preserve">IRC § 263A — capitalization of certain costs to inventory (UNICAP)</w:t>
      </w:r>
    </w:p>
    <w:p>
      <w:pPr>
        <w:spacing w:after="120"/>
      </w:pP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 and § 408(k) — retirement plan contribution limits available to self-employment income</w:t>
      </w:r>
    </w:p>
    <w:p>
      <w:pPr>
        <w:pStyle w:val="ListParagraph"/>
        <w:numPr>
          <w:ilvl w:val="0"/>
          <w:numId w:val="2"/>
        </w:numPr>
        <w:spacing w:after="60" w:line="276"/>
      </w:pPr>
      <w:r>
        <w:rPr>
          <w:rFonts w:ascii="Calibri" w:cs="Calibri" w:eastAsia="Calibri" w:hAnsi="Calibri"/>
          <w:sz w:val="21"/>
          <w:szCs w:val="21"/>
        </w:rPr>
        <w:t xml:space="preserve">IRC § 162(l) — self-employed health insurance deduction</w:t>
      </w:r>
    </w:p>
    <w:p>
      <w:pPr>
        <w:pStyle w:val="ListParagraph"/>
        <w:numPr>
          <w:ilvl w:val="0"/>
          <w:numId w:val="2"/>
        </w:numPr>
        <w:spacing w:after="60" w:line="276"/>
      </w:pPr>
      <w:r>
        <w:rPr>
          <w:rFonts w:ascii="Calibri" w:cs="Calibri" w:eastAsia="Calibri" w:hAnsi="Calibri"/>
          <w:sz w:val="21"/>
          <w:szCs w:val="21"/>
        </w:rPr>
        <w:t xml:space="preserve">IRC § 280A — home office expenses</w:t>
      </w:r>
    </w:p>
    <w:p>
      <w:pPr>
        <w:spacing w:after="120"/>
      </w:pP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1.409A note not applicable — see IRC § 6654(g) and § 31(a); IRS Publication 15 (Circular E) — supplemental wage withholding rules</w:t>
      </w:r>
    </w:p>
    <w:p>
      <w:pPr>
        <w:spacing w:after="120"/>
      </w:pP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 (applies to "stock or securities")</w:t>
      </w:r>
    </w:p>
    <w:p>
      <w:pPr>
        <w:pStyle w:val="ListParagraph"/>
        <w:numPr>
          <w:ilvl w:val="0"/>
          <w:numId w:val="2"/>
        </w:numPr>
        <w:spacing w:after="60" w:line="276"/>
      </w:pPr>
      <w:r>
        <w:rPr>
          <w:rFonts w:ascii="Calibri" w:cs="Calibri" w:eastAsia="Calibri" w:hAnsi="Calibri"/>
          <w:sz w:val="21"/>
          <w:szCs w:val="21"/>
        </w:rPr>
        <w:t xml:space="preserve">IRS Notice 2014-21 — virtual currency treated as property for federal tax purposes</w:t>
      </w:r>
    </w:p>
    <w:p>
      <w:pPr>
        <w:spacing w:after="120"/>
      </w:pP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475(f) — mark-to-market election for traders in securities or commodities</w:t>
      </w:r>
    </w:p>
    <w:p>
      <w:pPr>
        <w:pStyle w:val="ListParagraph"/>
        <w:numPr>
          <w:ilvl w:val="0"/>
          <w:numId w:val="2"/>
        </w:numPr>
        <w:spacing w:after="60" w:line="276"/>
      </w:pPr>
      <w:r>
        <w:rPr>
          <w:rFonts w:ascii="Calibri" w:cs="Calibri" w:eastAsia="Calibri" w:hAnsi="Calibri"/>
          <w:sz w:val="21"/>
          <w:szCs w:val="21"/>
        </w:rPr>
        <w:t xml:space="preserve">Rev. Proc. 99-17 — procedures for making the § 475(f) election</w:t>
      </w:r>
    </w:p>
    <w:p>
      <w:pPr>
        <w:spacing w:after="120"/>
      </w:pP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280F — limitations on depreciation for luxury automobiles and listed property</w:t>
      </w:r>
    </w:p>
    <w:p>
      <w:pPr>
        <w:pStyle w:val="ListParagraph"/>
        <w:numPr>
          <w:ilvl w:val="0"/>
          <w:numId w:val="2"/>
        </w:numPr>
        <w:spacing w:after="60" w:line="276"/>
      </w:pPr>
      <w:r>
        <w:rPr>
          <w:rFonts w:ascii="Calibri" w:cs="Calibri" w:eastAsia="Calibri" w:hAnsi="Calibri"/>
          <w:sz w:val="21"/>
          <w:szCs w:val="21"/>
        </w:rPr>
        <w:t xml:space="preserve">Rev. Proc. 2019-26 (and successor guidance) — luxury-auto depreciation limits</w:t>
      </w:r>
    </w:p>
    <w:p>
      <w:pPr>
        <w:spacing w:after="120"/>
      </w:pP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469(c)(7) — real property trades or businesses</w:t>
      </w:r>
    </w:p>
    <w:p>
      <w:pPr>
        <w:pStyle w:val="ListParagraph"/>
        <w:numPr>
          <w:ilvl w:val="0"/>
          <w:numId w:val="2"/>
        </w:numPr>
        <w:spacing w:after="60" w:line="276"/>
      </w:pPr>
      <w:r>
        <w:rPr>
          <w:rFonts w:ascii="Calibri" w:cs="Calibri" w:eastAsia="Calibri" w:hAnsi="Calibri"/>
          <w:sz w:val="21"/>
          <w:szCs w:val="21"/>
        </w:rPr>
        <w:t xml:space="preserve">Treas. Reg. § 1.469-9 — rules for real estate professionals</w:t>
      </w:r>
    </w:p>
    <w:p>
      <w:pPr>
        <w:pStyle w:val="ListParagraph"/>
        <w:numPr>
          <w:ilvl w:val="0"/>
          <w:numId w:val="2"/>
        </w:numPr>
        <w:spacing w:after="60" w:line="276"/>
      </w:pPr>
      <w:r>
        <w:rPr>
          <w:rFonts w:ascii="Calibri" w:cs="Calibri" w:eastAsia="Calibri" w:hAnsi="Calibri"/>
          <w:sz w:val="21"/>
          <w:szCs w:val="21"/>
        </w:rPr>
        <w:t xml:space="preserve">Treas. Reg. § 1.469-5T — material participation tests</w:t>
      </w:r>
    </w:p>
    <w:p>
      <w:pPr>
        <w:spacing w:after="120"/>
      </w:pP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 — SSTB definitions and the income phase-out</w:t>
      </w:r>
    </w:p>
    <w:p>
      <w:pPr>
        <w:spacing w:after="120"/>
      </w:pP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is well above the SSTB phase-out ceiling. One spouse’s dental practice — a health-field SSTB — pays substantial W-2 wages to that spouse, but because their income exceeds the ceiling, the practice’s QBI deduction is zero regardless of how those wages are set. The other spouse’s separate real estate brokerage business, which is not an SSTB, is QBI-eligible and its deduction is instead limited only by the wage-based cap described in the QBI wage true-up strategy — meaning raising wages in the brokerage business can still increase its deduction, even though the identical move in the dental practice would accomplish nothing.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1367 — adjustments to basis of stock and debt of S corporation shareholders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Form 7203, S Corporation Shareholder Stock and Debt Basis Limitations</w:t>
      </w:r>
    </w:p>
    <w:p>
      <w:pPr>
        <w:spacing w:after="120"/>
      </w:pP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income and cash have grown quickly, and its owner has been taking distributions at a pace that felt proportionate to the business’s visible success. A basis review midway through the year shows the owner’s draws to date already exceed their stock basis by a meaningful margin — an amount that, left unaddressed through year-end, would generate an unexpected capital gain purely from having drawn cash out faster than basis accumulated, even though the corporation itself remains highly profitable and cash-rich.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shareholder loan to the corporation can also create debt basis that supports additional tax-free distributions — but only if it is structured and documented as genuine debt (not just informally treated as one), since an improperly documented "loan" can be recharacterized and fail to provide the basis it was meant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1221 — definition of capital asset (excludes property held primarily for sale to customers)</w:t>
      </w:r>
    </w:p>
    <w:p>
      <w:pPr>
        <w:pStyle w:val="ListParagraph"/>
        <w:numPr>
          <w:ilvl w:val="0"/>
          <w:numId w:val="2"/>
        </w:numPr>
        <w:spacing w:after="60" w:line="276"/>
      </w:pPr>
      <w:r>
        <w:rPr>
          <w:rFonts w:ascii="Calibri" w:cs="Calibri" w:eastAsia="Calibri" w:hAnsi="Calibri"/>
          <w:sz w:val="21"/>
          <w:szCs w:val="21"/>
        </w:rPr>
        <w:t xml:space="preserve">IRC § 1401 and § 1402 — self-employment tax on trade or business income</w:t>
      </w:r>
    </w:p>
    <w:p>
      <w:pPr>
        <w:spacing w:after="120"/>
      </w:pP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1.469-2(f)(6) — the self-rental recharacterization rule</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pStyle w:val="ListParagraph"/>
        <w:numPr>
          <w:ilvl w:val="0"/>
          <w:numId w:val="2"/>
        </w:numPr>
        <w:spacing w:after="60" w:line="276"/>
      </w:pPr>
      <w:r>
        <w:rPr>
          <w:rFonts w:ascii="Calibri" w:cs="Calibri" w:eastAsia="Calibri" w:hAnsi="Calibri"/>
          <w:sz w:val="21"/>
          <w:szCs w:val="21"/>
        </w:rPr>
        <w:t xml:space="preserve">IRC § 41(h) — election for small businesses to apply the credit against payroll tax</w:t>
      </w:r>
    </w:p>
    <w:p>
      <w:pPr>
        <w:pStyle w:val="ListParagraph"/>
        <w:numPr>
          <w:ilvl w:val="0"/>
          <w:numId w:val="2"/>
        </w:numPr>
        <w:spacing w:after="60" w:line="276"/>
      </w:pPr>
      <w:r>
        <w:rPr>
          <w:rFonts w:ascii="Calibri" w:cs="Calibri" w:eastAsia="Calibri" w:hAnsi="Calibri"/>
          <w:sz w:val="21"/>
          <w:szCs w:val="21"/>
        </w:rPr>
        <w:t xml:space="preserve">Treas. Reg. § 1.41-4 — the four-part test for qualified research</w:t>
      </w:r>
    </w:p>
    <w:p>
      <w:pPr>
        <w:spacing w:after="120"/>
      </w:pP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911 — citizens or residents of the United States living abroad</w:t>
      </w:r>
    </w:p>
    <w:p>
      <w:pPr>
        <w:pStyle w:val="ListParagraph"/>
        <w:numPr>
          <w:ilvl w:val="0"/>
          <w:numId w:val="2"/>
        </w:numPr>
        <w:spacing w:after="60" w:line="276"/>
      </w:pPr>
      <w:r>
        <w:rPr>
          <w:rFonts w:ascii="Calibri" w:cs="Calibri" w:eastAsia="Calibri" w:hAnsi="Calibri"/>
          <w:sz w:val="21"/>
          <w:szCs w:val="21"/>
        </w:rPr>
        <w:t xml:space="preserve">Treas. Reg. § 1.911-2 — the bona fide residence and physical presence tests</w:t>
      </w:r>
    </w:p>
    <w:p>
      <w:pPr>
        <w:spacing w:after="120"/>
      </w:pP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1.199A-4 — aggregation of trades or businesses</w:t>
      </w:r>
    </w:p>
    <w:p>
      <w:pPr>
        <w:pStyle w:val="ListParagraph"/>
        <w:numPr>
          <w:ilvl w:val="0"/>
          <w:numId w:val="2"/>
        </w:numPr>
        <w:spacing w:after="60" w:line="276"/>
      </w:pPr>
      <w:r>
        <w:rPr>
          <w:rFonts w:ascii="Calibri" w:cs="Calibri" w:eastAsia="Calibri" w:hAnsi="Calibri"/>
          <w:sz w:val="21"/>
          <w:szCs w:val="21"/>
        </w:rPr>
        <w:t xml:space="preserve">IRC § 199A(b)(1) — the QBI wage and UBIA limitation</w:t>
      </w:r>
    </w:p>
    <w:p>
      <w:pPr>
        <w:spacing w:after="120"/>
      </w:pP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with substantial payroll and 75% (through that same operating company) of a related sales-focused partnership that has no employees of its own and pays no W-2 wages. On a standalone basis, the sales partnership’s income would generate a QBI deduction of zero, since it fails the wage test entirely on its own facts. Because the same ownership group controls both businesses, neither is an SSTB, and the two operate in a genuinely integrated way (shared customers and coordinated operations), a valid § 1.199A-4 aggregation election lets the operating company’s wages support the wage limitation for the combined group’s QBI — potentially preserving tens of thousands of dollars of deduction that would otherwise have been lost entirely on the wage-poor business’s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901 and § 904 — foreign tax credit and the limitation</w:t>
      </w:r>
    </w:p>
    <w:p>
      <w:pPr>
        <w:pStyle w:val="ListParagraph"/>
        <w:numPr>
          <w:ilvl w:val="0"/>
          <w:numId w:val="2"/>
        </w:numPr>
        <w:spacing w:after="60" w:line="276"/>
      </w:pPr>
      <w:r>
        <w:rPr>
          <w:rFonts w:ascii="Calibri" w:cs="Calibri" w:eastAsia="Calibri" w:hAnsi="Calibri"/>
          <w:sz w:val="21"/>
          <w:szCs w:val="21"/>
        </w:rPr>
        <w:t xml:space="preserve">Form 1116, Foreign Tax Credit</w:t>
      </w:r>
    </w:p>
    <w:p>
      <w:pPr>
        <w:spacing w:after="120"/>
      </w:pP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1001 — no gain or loss recognized until a taxable disposition occurs</w:t>
      </w:r>
    </w:p>
    <w:p>
      <w:pPr>
        <w:pStyle w:val="ListParagraph"/>
        <w:numPr>
          <w:ilvl w:val="0"/>
          <w:numId w:val="2"/>
        </w:numPr>
        <w:spacing w:after="60" w:line="276"/>
      </w:pPr>
      <w:r>
        <w:rPr>
          <w:rFonts w:ascii="Calibri" w:cs="Calibri" w:eastAsia="Calibri" w:hAnsi="Calibri"/>
          <w:sz w:val="21"/>
          <w:szCs w:val="21"/>
        </w:rPr>
        <w:t xml:space="preserve">IRC § 163(d) — investment interest expense limitation</w:t>
      </w:r>
    </w:p>
    <w:p>
      <w:pPr>
        <w:spacing w:after="120"/>
      </w:pP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1.451-1 — when income is includible under the cash method</w:t>
      </w:r>
    </w:p>
    <w:p>
      <w:pPr>
        <w:pStyle w:val="ListParagraph"/>
        <w:numPr>
          <w:ilvl w:val="0"/>
          <w:numId w:val="2"/>
        </w:numPr>
        <w:spacing w:after="60" w:line="276"/>
      </w:pPr>
      <w:r>
        <w:rPr>
          <w:rFonts w:ascii="Calibri" w:cs="Calibri" w:eastAsia="Calibri" w:hAnsi="Calibri"/>
          <w:sz w:val="21"/>
          <w:szCs w:val="21"/>
        </w:rPr>
        <w:t xml:space="preserve">Treas. Reg. § 1.263(a)-4(f) — the 12-month rule for prepaid expenses</w:t>
      </w:r>
    </w:p>
    <w:p>
      <w:pPr>
        <w:spacing w:after="120"/>
      </w:pP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9831(d) — qualified small employer health reimbursement arrangements</w:t>
      </w:r>
    </w:p>
    <w:p>
      <w:pPr>
        <w:pStyle w:val="ListParagraph"/>
        <w:numPr>
          <w:ilvl w:val="0"/>
          <w:numId w:val="2"/>
        </w:numPr>
        <w:spacing w:after="60" w:line="276"/>
      </w:pPr>
      <w:r>
        <w:rPr>
          <w:rFonts w:ascii="Calibri" w:cs="Calibri" w:eastAsia="Calibri" w:hAnsi="Calibri"/>
          <w:sz w:val="21"/>
          <w:szCs w:val="21"/>
        </w:rPr>
        <w:t xml:space="preserve">IRS Notice 2017-67 — QSEHRA guidance</w:t>
      </w:r>
    </w:p>
    <w:p>
      <w:pPr>
        <w:spacing w:after="120"/>
      </w:pP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162(l) — special rules for health insurance costs of self-employed individuals</w:t>
      </w:r>
    </w:p>
    <w:p>
      <w:pPr>
        <w:pStyle w:val="ListParagraph"/>
        <w:numPr>
          <w:ilvl w:val="0"/>
          <w:numId w:val="2"/>
        </w:numPr>
        <w:spacing w:after="60" w:line="276"/>
      </w:pPr>
      <w:r>
        <w:rPr>
          <w:rFonts w:ascii="Calibri" w:cs="Calibri" w:eastAsia="Calibri" w:hAnsi="Calibri"/>
          <w:sz w:val="21"/>
          <w:szCs w:val="21"/>
        </w:rPr>
        <w:t xml:space="preserve">IRC § 1372 — fringe benefit treatment for &gt;2% shareholders</w:t>
      </w:r>
    </w:p>
    <w:p>
      <w:pPr>
        <w:pStyle w:val="ListParagraph"/>
        <w:numPr>
          <w:ilvl w:val="0"/>
          <w:numId w:val="2"/>
        </w:numPr>
        <w:spacing w:after="60" w:line="276"/>
      </w:pPr>
      <w:r>
        <w:rPr>
          <w:rFonts w:ascii="Calibri" w:cs="Calibri" w:eastAsia="Calibri" w:hAnsi="Calibri"/>
          <w:sz w:val="21"/>
          <w:szCs w:val="21"/>
        </w:rPr>
        <w:t xml:space="preserve">IRS Notice 2008-1</w:t>
      </w:r>
    </w:p>
    <w:p>
      <w:pPr>
        <w:spacing w:after="120"/>
      </w:pP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who holds 100% of the company’s stock has the corporation pay her personal health insurance premiums directly. Her payroll adds the annual premium amount to her W-2 Box 1 wages (with no FICA withheld on that amount), and on her personal return she separately claims the § 162(l) self-employed health insurance deduction for the same amount, as long as it does not exceed her W-2 wages from the company. The net effect is that the premium cost is fully deductible to the business and creates no net taxable income to her personally — but only because both the wage inclusion and the personal deduction were correctly completed; omitting either step would have left her paying tax on income with no offsetting benefit, or claiming a deduction not properly supported by wages.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163(d) — limitation on investment interest</w:t>
      </w:r>
    </w:p>
    <w:p>
      <w:pPr>
        <w:pStyle w:val="ListParagraph"/>
        <w:numPr>
          <w:ilvl w:val="0"/>
          <w:numId w:val="2"/>
        </w:numPr>
        <w:spacing w:after="60" w:line="276"/>
      </w:pPr>
      <w:r>
        <w:rPr>
          <w:rFonts w:ascii="Calibri" w:cs="Calibri" w:eastAsia="Calibri" w:hAnsi="Calibri"/>
          <w:sz w:val="21"/>
          <w:szCs w:val="21"/>
        </w:rPr>
        <w:t xml:space="preserve">Form 4952, Investment Interest Expense Deduction</w:t>
      </w:r>
    </w:p>
    <w:p>
      <w:pPr>
        <w:spacing w:after="120"/>
      </w:pP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against a brokerage account to fund an outside investment, paying substantial margin interest during a year when the pledged portfolio itself generates comparatively little taxable investment income. The investment interest paid far exceeds that year’s net investment income, and the excess carries forward on Form 4952. In a later year when the investor realizes a large gain from portfolio rebalancing, the banked carryforward interest deduction directly offsets that gain (having elected to treat it as investment income for this purpose), turning years of accumulated, otherwise-unused interest deductions into real tax savings exactly when a matching amount of investment income finally arrives.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4975 — prohibited transactions</w:t>
      </w:r>
    </w:p>
    <w:p>
      <w:pPr>
        <w:pStyle w:val="ListParagraph"/>
        <w:numPr>
          <w:ilvl w:val="0"/>
          <w:numId w:val="2"/>
        </w:numPr>
        <w:spacing w:after="60" w:line="276"/>
      </w:pPr>
      <w:r>
        <w:rPr>
          <w:rFonts w:ascii="Calibri" w:cs="Calibri" w:eastAsia="Calibri" w:hAnsi="Calibri"/>
          <w:sz w:val="21"/>
          <w:szCs w:val="21"/>
        </w:rPr>
        <w:t xml:space="preserve">IRC § 408 and § 408A — individual retirement accounts</w:t>
      </w:r>
    </w:p>
    <w:p>
      <w:pPr>
        <w:pStyle w:val="ListParagraph"/>
        <w:numPr>
          <w:ilvl w:val="0"/>
          <w:numId w:val="2"/>
        </w:numPr>
        <w:spacing w:after="60" w:line="276"/>
      </w:pPr>
      <w:r>
        <w:rPr>
          <w:rFonts w:ascii="Calibri" w:cs="Calibri" w:eastAsia="Calibri" w:hAnsi="Calibri"/>
          <w:sz w:val="21"/>
          <w:szCs w:val="21"/>
        </w:rPr>
        <w:t xml:space="preserve">Rev. Rul. 2006-38 — disqualified persons and control</w:t>
      </w:r>
    </w:p>
    <w:p>
      <w:pPr>
        <w:spacing w:after="120"/>
      </w:pP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wants his Roth IRA to own equity in a new acquisition venture he is helping launch with a business partner, buying in while the entity is still worth very little. Because he would personally control the venture at more than 50% ownership, having his own IRA invest directly would be a prohibited transaction. Instead, the equity is structured through a genuinely separate entity he does not control at the disqualifying threshold, with the IRA’s purchase priced against a contemporaneous valuation confirming the entity’s value is still near zero at the time of investment — engaging a specialized self-directed IRA custodian and attorney throughout to structure the transaction correctly before it happens.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consequence of getting this wrong is not a disallowed deduction or a modest penalty — a prohibited transaction can disqualify the entire IRA, treating it as fully distributed and immediately taxable (plus penalties) on its whole value, not just the value of the problematic investment. This is a strategy where the downside of a mistake is categorically larger than the upside of getting it right, which is exactly why specialized counsel is not optional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3402 — wage withholding rules</w:t>
      </w:r>
    </w:p>
    <w:p>
      <w:pPr>
        <w:pStyle w:val="ListParagraph"/>
        <w:numPr>
          <w:ilvl w:val="0"/>
          <w:numId w:val="2"/>
        </w:numPr>
        <w:spacing w:after="60" w:line="276"/>
      </w:pPr>
      <w:r>
        <w:rPr>
          <w:rFonts w:ascii="Calibri" w:cs="Calibri" w:eastAsia="Calibri" w:hAnsi="Calibri"/>
          <w:sz w:val="21"/>
          <w:szCs w:val="21"/>
        </w:rPr>
        <w:t xml:space="preserve">Treas. Reg. § 1.409(a) supplemental wage rate rules</w:t>
      </w:r>
    </w:p>
    <w:p>
      <w:pPr>
        <w:pStyle w:val="ListParagraph"/>
        <w:numPr>
          <w:ilvl w:val="0"/>
          <w:numId w:val="2"/>
        </w:numPr>
        <w:spacing w:after="60" w:line="276"/>
      </w:pPr>
      <w:r>
        <w:rPr>
          <w:rFonts w:ascii="Calibri" w:cs="Calibri" w:eastAsia="Calibri" w:hAnsi="Calibri"/>
          <w:sz w:val="21"/>
          <w:szCs w:val="21"/>
        </w:rPr>
        <w:t xml:space="preserve">IRS Form W-4 and its instructions</w:t>
      </w:r>
    </w:p>
    <w:p>
      <w:pPr>
        <w:spacing w:after="120"/>
      </w:pP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top marginal bracket receives the bulk of her compensation as RSU vesting income throughout the year. Because her employer withholds on RSU income at the flat supplemental rate — well below her actual bracket — she is under-withheld by roughly fifteen percentage points of every dollar that vests. Rather than making quarterly estimated payments, she calculates the annual dollar gap and submits a revised Form W-4 requesting a large additional flat-dollar amount be withheld from her remaining paychecks for the rest of the year. Because withholding is deemed paid evenly throughout the year no matter when it is actually withheld, this single mid-year correction cures the underpayment for the earlier vesting events as well, avoiding both the balance due and the underpayment penalty she incurred the previous year under the same pattern.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not a one-time fix — it must be revisited every year, and ideally every time a new grant vests or a stock-price swing changes the dollar value vesting, since the gap scales directly with the value of equity that vests during the year, not with base salary.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453 — installment method</w:t>
      </w:r>
    </w:p>
    <w:p>
      <w:pPr>
        <w:pStyle w:val="ListParagraph"/>
        <w:numPr>
          <w:ilvl w:val="0"/>
          <w:numId w:val="2"/>
        </w:numPr>
        <w:spacing w:after="60" w:line="276"/>
      </w:pPr>
      <w:r>
        <w:rPr>
          <w:rFonts w:ascii="Calibri" w:cs="Calibri" w:eastAsia="Calibri" w:hAnsi="Calibri"/>
          <w:sz w:val="21"/>
          <w:szCs w:val="21"/>
        </w:rPr>
        <w:t xml:space="preserve">IRC § 453(i) — recapture income treated as received in year of disposition</w:t>
      </w:r>
    </w:p>
    <w:p>
      <w:pPr>
        <w:pStyle w:val="ListParagraph"/>
        <w:numPr>
          <w:ilvl w:val="0"/>
          <w:numId w:val="2"/>
        </w:numPr>
        <w:spacing w:after="60" w:line="276"/>
      </w:pPr>
      <w:r>
        <w:rPr>
          <w:rFonts w:ascii="Calibri" w:cs="Calibri" w:eastAsia="Calibri" w:hAnsi="Calibri"/>
          <w:sz w:val="21"/>
          <w:szCs w:val="21"/>
        </w:rPr>
        <w:t xml:space="preserve">IRC § 1245 — gain from dispositions of certain depreciable property</w:t>
      </w:r>
    </w:p>
    <w:p>
      <w:pPr>
        <w:pStyle w:val="ListParagraph"/>
        <w:numPr>
          <w:ilvl w:val="0"/>
          <w:numId w:val="2"/>
        </w:numPr>
        <w:spacing w:after="60" w:line="276"/>
      </w:pPr>
      <w:r>
        <w:rPr>
          <w:rFonts w:ascii="Calibri" w:cs="Calibri" w:eastAsia="Calibri" w:hAnsi="Calibri"/>
          <w:sz w:val="21"/>
          <w:szCs w:val="21"/>
        </w:rPr>
        <w:t xml:space="preserve">IRS Form 8594 — asset acquisition statement</w:t>
      </w:r>
    </w:p>
    <w:p>
      <w:pPr>
        <w:spacing w:after="120"/>
      </w:pP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specialized equipment as part of winding down an operating company, agreeing to an owner-financed structure with a modest down payment and the balance paid over five years. Because the equipment was fully written off years earlier through bonus depreciation, its tax basis is close to zero — meaning nearly the entire price allocated to that equipment is depreciation recapture, taxed as ordinary income. That recapture tax is due in full in the year of sale under the installment-sale recapture rule, even though only a small fraction of the total sale price was actually received that year. The seller has to fund the tax bill from other resources, since the down payment alone does not cover it — a consequence that would have been avoidable with basis and cash-flow modeling before the deal terms were finalized.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Any insurance or casualty proceeds tied to a disposed asset can raise a related but separate question — gain on an involuntary disposition can sometimes be deferred if the proceeds are reinvested in qualifying replacement property, which is a distinct mechanism from the ordinary sale rules discussed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174 and § 174A — treatment of research and experimental expenditures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spacing w:after="120"/>
      </w:pP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2503(e) — exclusion for certain transfers for educational or medical expenses</w:t>
      </w:r>
    </w:p>
    <w:p>
      <w:pPr>
        <w:pStyle w:val="ListParagraph"/>
        <w:numPr>
          <w:ilvl w:val="0"/>
          <w:numId w:val="2"/>
        </w:numPr>
        <w:spacing w:after="60" w:line="276"/>
      </w:pPr>
      <w:r>
        <w:rPr>
          <w:rFonts w:ascii="Calibri" w:cs="Calibri" w:eastAsia="Calibri" w:hAnsi="Calibri"/>
          <w:sz w:val="21"/>
          <w:szCs w:val="21"/>
        </w:rPr>
        <w:t xml:space="preserve">IRC § 2503(b) — annual gift tax exclusion</w:t>
      </w:r>
    </w:p>
    <w:p>
      <w:pPr>
        <w:spacing w:after="120"/>
      </w:pP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college tuition, which runs well above the ordinary annual gift-tax exclusion amount each year. Rather than gifting cash to the grandchild's account and having the grandchild pay the school, the grandparent pays the university's bursar's office directly each semester. Because the payment goes straight to the educational institution for tuition, it falls under the unlimited educational-expense exclusion entirely outside the ordinary gift-tax system — no gift tax return is required for that payment, and it does not reduce the grandparent's ordinary annual exclusion, which remains fully available if the grandparent also wants to make a separate cash gift to the same grandchild in the same year.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simplest, lowest-risk estate-planning moves available — it requires no trust, no valuation, and no complex documentation, just the discipline of routing the payment directly to the institution rather than through the family member's own account.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1033 — involuntary conversions</w:t>
      </w:r>
    </w:p>
    <w:p>
      <w:pPr>
        <w:pStyle w:val="ListParagraph"/>
        <w:numPr>
          <w:ilvl w:val="0"/>
          <w:numId w:val="2"/>
        </w:numPr>
        <w:spacing w:after="60" w:line="276"/>
      </w:pPr>
      <w:r>
        <w:rPr>
          <w:rFonts w:ascii="Calibri" w:cs="Calibri" w:eastAsia="Calibri" w:hAnsi="Calibri"/>
          <w:sz w:val="21"/>
          <w:szCs w:val="21"/>
        </w:rPr>
        <w:t xml:space="preserve">Treas. Reg. § 1.1033(a)-1 — general rules for involuntary conversions</w:t>
      </w:r>
    </w:p>
    <w:p>
      <w:pPr>
        <w:spacing w:after="120"/>
      </w:pP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equipment is destroyed in an accident, and the business receives an insurance payout that exceeds the equipment's remaining tax basis. Rather than recognizing that excess as a taxable gain in the year of the payout, the business uses the insurance proceeds to purchase similar replacement equipment used the same way in the same business, within the applicable reinvestment window, and elects to defer the gain under the involuntary-conversion rules on that year's return. The deferred gain reduces the basis of the newly purchased equipment, so the tax is not eliminated — only postponed until the replacement equipment is itself later sold in a taxable transaction.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deferral is elective, not automatic — a taxpayer who would prefer to recognize the gain currently (for instance, to absorb it against an available loss elsewhere) can simply choose not to make the election, which is a planning choice worth evaluating rather than assuming deferral is always the better outcome.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Section 530 of the Revenue Act of 1978 (uncodified, as amended)</w:t>
      </w:r>
    </w:p>
    <w:p>
      <w:pPr>
        <w:pStyle w:val="ListParagraph"/>
        <w:numPr>
          <w:ilvl w:val="0"/>
          <w:numId w:val="2"/>
        </w:numPr>
        <w:spacing w:after="60" w:line="276"/>
      </w:pPr>
      <w:r>
        <w:rPr>
          <w:rFonts w:ascii="Calibri" w:cs="Calibri" w:eastAsia="Calibri" w:hAnsi="Calibri"/>
          <w:sz w:val="21"/>
          <w:szCs w:val="21"/>
        </w:rPr>
        <w:t xml:space="preserve">IRS Publication 1976 — Do You Qualify for Relief Under Section 530?</w:t>
      </w:r>
    </w:p>
    <w:p>
      <w:pPr>
        <w:spacing w:after="120"/>
      </w:pP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51 — work opportunity credit</w:t>
      </w:r>
    </w:p>
    <w:p>
      <w:pPr>
        <w:pStyle w:val="ListParagraph"/>
        <w:numPr>
          <w:ilvl w:val="0"/>
          <w:numId w:val="2"/>
        </w:numPr>
        <w:spacing w:after="60" w:line="276"/>
      </w:pPr>
      <w:r>
        <w:rPr>
          <w:rFonts w:ascii="Calibri" w:cs="Calibri" w:eastAsia="Calibri" w:hAnsi="Calibri"/>
          <w:sz w:val="21"/>
          <w:szCs w:val="21"/>
        </w:rPr>
        <w:t xml:space="preserve">IRS Form 8850 — pre-screening notice and certification request</w:t>
      </w:r>
    </w:p>
    <w:p>
      <w:pPr>
        <w:pStyle w:val="ListParagraph"/>
        <w:numPr>
          <w:ilvl w:val="0"/>
          <w:numId w:val="2"/>
        </w:numPr>
        <w:spacing w:after="60" w:line="276"/>
      </w:pPr>
      <w:r>
        <w:rPr>
          <w:rFonts w:ascii="Calibri" w:cs="Calibri" w:eastAsia="Calibri" w:hAnsi="Calibri"/>
          <w:sz w:val="21"/>
          <w:szCs w:val="21"/>
        </w:rPr>
        <w:t xml:space="preserve">IRS Form 5884 — work opportunity credit</w:t>
      </w:r>
    </w:p>
    <w:p>
      <w:pPr>
        <w:spacing w:after="120"/>
      </w:pP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42 — low-income housing credit</w:t>
      </w:r>
    </w:p>
    <w:p>
      <w:pPr>
        <w:pStyle w:val="ListParagraph"/>
        <w:numPr>
          <w:ilvl w:val="0"/>
          <w:numId w:val="2"/>
        </w:numPr>
        <w:spacing w:after="60" w:line="276"/>
      </w:pPr>
      <w:r>
        <w:rPr>
          <w:rFonts w:ascii="Calibri" w:cs="Calibri" w:eastAsia="Calibri" w:hAnsi="Calibri"/>
          <w:sz w:val="21"/>
          <w:szCs w:val="21"/>
        </w:rPr>
        <w:t xml:space="preserve">Treas. Reg. § 1.42 series — compliance and recapture rules</w:t>
      </w:r>
    </w:p>
    <w:p>
      <w:pPr>
        <w:spacing w:after="120"/>
      </w:pP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large, one-time tax liability in a particular year is looking for a way to generate a recurring credit against future tax bills rather than a one-time deduction. Rather than developing affordable housing directly — an active, specialized undertaking — the investor commits capital to a syndicated fund that pools investor money across several qualifying low-income housing developments managed by an experienced sponsor. In exchange, the investor receives an allocated share of the federal credit, claimed annually over the credit period, evaluating the investment primarily as a scheduled tax-credit stream rather than as a conventional rental-property cash-flow investment, and specifically vetting the sponsor's history of maintaining compliance on prior properties to manage recapture risk.</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strategy is fundamentally a passive, sponsor-dependent investment rather than a hands-on real estate strategy — an investor's influence over outcomes is limited almost entirely to the diligence performed before committing capital, since day-to-day compliance and operations are controlled by the sponsor for the life of the investment.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179D — energy-efficient commercial buildings deduction</w:t>
      </w:r>
    </w:p>
    <w:p>
      <w:pPr>
        <w:pStyle w:val="ListParagraph"/>
        <w:numPr>
          <w:ilvl w:val="0"/>
          <w:numId w:val="2"/>
        </w:numPr>
        <w:spacing w:after="60" w:line="276"/>
      </w:pPr>
      <w:r>
        <w:rPr>
          <w:rFonts w:ascii="Calibri" w:cs="Calibri" w:eastAsia="Calibri" w:hAnsi="Calibri"/>
          <w:sz w:val="21"/>
          <w:szCs w:val="21"/>
        </w:rPr>
        <w:t xml:space="preserve">IRC § 45L — new energy-efficient home credit</w:t>
      </w:r>
    </w:p>
    <w:p>
      <w:pPr>
        <w:spacing w:after="120"/>
      </w:pP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6427 — fuel tax credits and refunds</w:t>
      </w:r>
    </w:p>
    <w:p>
      <w:pPr>
        <w:pStyle w:val="ListParagraph"/>
        <w:numPr>
          <w:ilvl w:val="0"/>
          <w:numId w:val="2"/>
        </w:numPr>
        <w:spacing w:after="60" w:line="276"/>
      </w:pPr>
      <w:r>
        <w:rPr>
          <w:rFonts w:ascii="Calibri" w:cs="Calibri" w:eastAsia="Calibri" w:hAnsi="Calibri"/>
          <w:sz w:val="21"/>
          <w:szCs w:val="21"/>
        </w:rPr>
        <w:t xml:space="preserve">IRS Form 4136 — credit for federal tax paid on fuels</w:t>
      </w:r>
    </w:p>
    <w:p>
      <w:pPr>
        <w:spacing w:after="120"/>
      </w:pP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401(k)(12) and (13) — safe harbor 401(k) plans</w:t>
      </w:r>
    </w:p>
    <w:p>
      <w:pPr>
        <w:pStyle w:val="ListParagraph"/>
        <w:numPr>
          <w:ilvl w:val="0"/>
          <w:numId w:val="2"/>
        </w:numPr>
        <w:spacing w:after="60" w:line="276"/>
      </w:pPr>
      <w:r>
        <w:rPr>
          <w:rFonts w:ascii="Calibri" w:cs="Calibri" w:eastAsia="Calibri" w:hAnsi="Calibri"/>
          <w:sz w:val="21"/>
          <w:szCs w:val="21"/>
        </w:rPr>
        <w:t xml:space="preserve">IRC § 401(a)(4) — nondiscrimination requirements and cross-testing</w:t>
      </w:r>
    </w:p>
    <w:p>
      <w:pPr>
        <w:pStyle w:val="ListParagraph"/>
        <w:numPr>
          <w:ilvl w:val="0"/>
          <w:numId w:val="2"/>
        </w:numPr>
        <w:spacing w:after="60" w:line="276"/>
      </w:pPr>
      <w:r>
        <w:rPr>
          <w:rFonts w:ascii="Calibri" w:cs="Calibri" w:eastAsia="Calibri" w:hAnsi="Calibri"/>
          <w:sz w:val="21"/>
          <w:szCs w:val="21"/>
        </w:rPr>
        <w:t xml:space="preserve">Treas. Reg. § 1.401(a)(4)-8 — cross-testing rules for defined contribution plans</w:t>
      </w:r>
    </w:p>
    <w:p>
      <w:pPr>
        <w:spacing w:after="120"/>
      </w:pP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of a growing service business want to maximize their own retirement contributions without triggering nondiscrimination testing failures given their relatively young, lower-paid staff. They adopt a safe harbor 401(k) with a 3% non-elective contribution for all eligible employees, layering a cross-tested profit-sharing formula on top that is designed, with their plan administrator's modeling, to direct the large majority of the profit-sharing dollars to the two owners as the oldest, highest-paid participants, while still satisfying the required nondiscrimination test for the plan as a whole. As part of the same design process, they also model raising their own W-2 salaries, since the profit-sharing contribution each of them can receive is capped as a percentage of their own compensation — a low owner salary would otherwise be the binding constraint on how much can be swept into their accounts, even though the business could otherwise easily afford a larger contribution.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design only works as intended when the actual employee census is modeled before commitment — a business that assumes the owners will always dominate the allocation without running the numbers against its real workforce risks discovering, only after adoption, that the safe harbor cost for covering employees is much larger than expected.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45E — small employer pension plan startup cost credit</w:t>
      </w:r>
    </w:p>
    <w:p>
      <w:pPr>
        <w:pStyle w:val="ListParagraph"/>
        <w:numPr>
          <w:ilvl w:val="0"/>
          <w:numId w:val="2"/>
        </w:numPr>
        <w:spacing w:after="60" w:line="276"/>
      </w:pPr>
      <w:r>
        <w:rPr>
          <w:rFonts w:ascii="Calibri" w:cs="Calibri" w:eastAsia="Calibri" w:hAnsi="Calibri"/>
          <w:sz w:val="21"/>
          <w:szCs w:val="21"/>
        </w:rPr>
        <w:t xml:space="preserve">IRC § 45T — auto-enrollment credit</w:t>
      </w:r>
    </w:p>
    <w:p>
      <w:pPr>
        <w:pStyle w:val="ListParagraph"/>
        <w:numPr>
          <w:ilvl w:val="0"/>
          <w:numId w:val="2"/>
        </w:numPr>
        <w:spacing w:after="60" w:line="276"/>
      </w:pPr>
      <w:r>
        <w:rPr>
          <w:rFonts w:ascii="Calibri" w:cs="Calibri" w:eastAsia="Calibri" w:hAnsi="Calibri"/>
          <w:sz w:val="21"/>
          <w:szCs w:val="21"/>
        </w:rPr>
        <w:t xml:space="preserve">IRS Form 8881 — credit for small employer pension plan startup costs</w:t>
      </w:r>
    </w:p>
    <w:p>
      <w:pPr>
        <w:spacing w:after="120"/>
      </w:pP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 modest number of employees adopts a new 401(k) plan for the first time, working with a third-party administrator on plan design and ongoing administration. In the plan's first year, the business claims a startup-cost credit covering a large share of the administrator's setup and first-year administration fees, and separately claims the flat auto-enrollment credit because the plan was designed from the outset to automatically enroll eligible employees unless they opt out. In subsequent years, the business also claims the separate employer-contribution credit against a portion of its own matching contributions for employees under the applicable compensation threshold — meaningfully offsetting the true first-years cost of standing up the plan.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credits are easy to miss precisely because they attach to a decision (adopting a new retirement plan) that a business owner may think of purely as an expense — a return preparer who is not specifically watching for a newly adopted plan can simply fail to claim them, since nothing about the plan itself flags their availability automatically.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Rev. Proc. 2013-30 — simplified late-election relief for S corporations</w:t>
      </w:r>
    </w:p>
    <w:p>
      <w:pPr>
        <w:pStyle w:val="ListParagraph"/>
        <w:numPr>
          <w:ilvl w:val="0"/>
          <w:numId w:val="2"/>
        </w:numPr>
        <w:spacing w:after="60" w:line="276"/>
      </w:pPr>
      <w:r>
        <w:rPr>
          <w:rFonts w:ascii="Calibri" w:cs="Calibri" w:eastAsia="Calibri" w:hAnsi="Calibri"/>
          <w:sz w:val="21"/>
          <w:szCs w:val="21"/>
        </w:rPr>
        <w:t xml:space="preserve">IRC § 1362 — election, revocation, and termination of S-corporation status</w:t>
      </w:r>
    </w:p>
    <w:p>
      <w:pPr>
        <w:pStyle w:val="ListParagraph"/>
        <w:numPr>
          <w:ilvl w:val="0"/>
          <w:numId w:val="2"/>
        </w:numPr>
        <w:spacing w:after="60" w:line="276"/>
      </w:pPr>
      <w:r>
        <w:rPr>
          <w:rFonts w:ascii="Calibri" w:cs="Calibri" w:eastAsia="Calibri" w:hAnsi="Calibri"/>
          <w:sz w:val="21"/>
          <w:szCs w:val="21"/>
        </w:rPr>
        <w:t xml:space="preserve">IRS Form 2553 — election by a small business corporation</w:t>
      </w:r>
    </w:p>
    <w:p>
      <w:pPr>
        <w:spacing w:after="120"/>
      </w:pP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30D — clean vehicle credit</w:t>
      </w:r>
    </w:p>
    <w:p>
      <w:pPr>
        <w:pStyle w:val="ListParagraph"/>
        <w:numPr>
          <w:ilvl w:val="0"/>
          <w:numId w:val="2"/>
        </w:numPr>
        <w:spacing w:after="60" w:line="276"/>
      </w:pPr>
      <w:r>
        <w:rPr>
          <w:rFonts w:ascii="Calibri" w:cs="Calibri" w:eastAsia="Calibri" w:hAnsi="Calibri"/>
          <w:sz w:val="21"/>
          <w:szCs w:val="21"/>
        </w:rPr>
        <w:t xml:space="preserve">IRC § 45W — qualified commercial clean vehicle credit</w:t>
      </w:r>
    </w:p>
    <w:p>
      <w:pPr>
        <w:pStyle w:val="ListParagraph"/>
        <w:numPr>
          <w:ilvl w:val="0"/>
          <w:numId w:val="2"/>
        </w:numPr>
        <w:spacing w:after="60" w:line="276"/>
      </w:pPr>
      <w:r>
        <w:rPr>
          <w:rFonts w:ascii="Calibri" w:cs="Calibri" w:eastAsia="Calibri" w:hAnsi="Calibri"/>
          <w:sz w:val="21"/>
          <w:szCs w:val="21"/>
        </w:rPr>
        <w:t xml:space="preserve">IRS Form 8936 — clean vehicle credits</w:t>
      </w:r>
    </w:p>
    <w:p>
      <w:pPr>
        <w:spacing w:after="120"/>
      </w:pP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conformity statutes for bonus depreciation and § 179 (varies by state)</w:t>
      </w:r>
    </w:p>
    <w:p>
      <w:pPr>
        <w:pStyle w:val="ListParagraph"/>
        <w:numPr>
          <w:ilvl w:val="0"/>
          <w:numId w:val="2"/>
        </w:numPr>
        <w:spacing w:after="60" w:line="276"/>
      </w:pPr>
      <w:r>
        <w:rPr>
          <w:rFonts w:ascii="Calibri" w:cs="Calibri" w:eastAsia="Calibri" w:hAnsi="Calibri"/>
          <w:sz w:val="21"/>
          <w:szCs w:val="21"/>
        </w:rPr>
        <w:t xml:space="preserve">IRC § 168(k) — additional first-year depreciation deduction</w:t>
      </w:r>
    </w:p>
    <w:p>
      <w:pPr>
        <w:spacing w:after="120"/>
      </w:pP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does not conform to federal bonus depreciation places a large piece of equipment in service and claims full federal bonus depreciation, generating a substantial first-year federal deduction. Anticipating a state addback, the business's advisor separately models the state's own depreciation schedule for the same asset — since the state disallows the immediate write-off, requiring the difference to be added back to state taxable income in year one and then recovered gradually over the asset's normal state recovery period. By quoting the federal and state benefits separately from the outset, the business is not surprised by a large, unexpected state tax bill in the placed-in-service year, and can plan its state estimated payments accordingly.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recurs every time a business considers a large acceleration strategy — a cost-segregation study on a new building, a heavy-vehicle purchase, or major equipment — so it is worth building state conformity checking into the standard workflow for evaluating any such strategy, rather than treating it as a one-off question to ask only when someone happens to think of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1374 — tax imposed on certain built-in gains</w:t>
      </w:r>
    </w:p>
    <w:p>
      <w:pPr>
        <w:pStyle w:val="ListParagraph"/>
        <w:numPr>
          <w:ilvl w:val="0"/>
          <w:numId w:val="2"/>
        </w:numPr>
        <w:spacing w:after="60" w:line="276"/>
      </w:pPr>
      <w:r>
        <w:rPr>
          <w:rFonts w:ascii="Calibri" w:cs="Calibri" w:eastAsia="Calibri" w:hAnsi="Calibri"/>
          <w:sz w:val="21"/>
          <w:szCs w:val="21"/>
        </w:rPr>
        <w:t xml:space="preserve">Treas. Reg. § 1.1374-1 through -10</w:t>
      </w:r>
    </w:p>
    <w:p>
      <w:pPr>
        <w:spacing w:after="120"/>
      </w:pP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closely held C-corporation that recognizes revenue on long-term projects only once a project is substantially complete converts to S-corporation status. Because several large projects are already well underway but not yet finished as of the conversion date, a substantial amount of income has effectively already been earned but not yet recognized for tax purposes — that unrecognized income is built-in gain under the corporation's method, not because of any single appreciated asset, but because of the timing mismatch inherent in how the business recognizes revenue. As those in-progress projects are completed and their income is finally recognized during the years immediately following conversion, that portion of the income is subject to the built-in-gains tax at the corporate level, on top of the shareholders' own tax on their pass-through share — a cost the corporation models and plans for by computing its work-in-process built-in-gain exposure as of the conversion date, rather than assuming the S-election alone eliminates all corporate-level tax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commonly underestimated costs of a C-to-S conversion for a business with either significantly appreciated assets or a deferred-income accounting method — the S-election changes how the business is taxed going forward, but it does not erase corporate-level tax on value that was already there before the switch.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302 — distributions in redemption of stock</w:t>
      </w:r>
    </w:p>
    <w:p>
      <w:pPr>
        <w:pStyle w:val="ListParagraph"/>
        <w:numPr>
          <w:ilvl w:val="0"/>
          <w:numId w:val="2"/>
        </w:numPr>
        <w:spacing w:after="60" w:line="276"/>
      </w:pPr>
      <w:r>
        <w:rPr>
          <w:rFonts w:ascii="Calibri" w:cs="Calibri" w:eastAsia="Calibri" w:hAnsi="Calibri"/>
          <w:sz w:val="21"/>
          <w:szCs w:val="21"/>
        </w:rPr>
        <w:t xml:space="preserve">IRC § 302(b)(3) — complete termination of a shareholder's interest</w:t>
      </w:r>
    </w:p>
    <w:p>
      <w:pPr>
        <w:pStyle w:val="ListParagraph"/>
        <w:numPr>
          <w:ilvl w:val="0"/>
          <w:numId w:val="2"/>
        </w:numPr>
        <w:spacing w:after="60" w:line="276"/>
      </w:pPr>
      <w:r>
        <w:rPr>
          <w:rFonts w:ascii="Calibri" w:cs="Calibri" w:eastAsia="Calibri" w:hAnsi="Calibri"/>
          <w:sz w:val="21"/>
          <w:szCs w:val="21"/>
        </w:rPr>
        <w:t xml:space="preserve">IRC § 318 — constructive ownership of stock (attribution rules)</w:t>
      </w:r>
    </w:p>
    <w:p>
      <w:pPr>
        <w:spacing w:after="120"/>
      </w:pP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wants to sell their entire stock interest back to the corporation as part of a multi-year buyout, retiring from any role in the business entirely. Because one of the parent's children continues to own stock in the same corporation after the buyout, the child's ownership would ordinarily be attributed back to the parent under the family-attribution rules, defeating the complete-termination exception and exposing the entire redemption payment to dividend treatment. To preserve capital-gain treatment on the sale, the parent's advisors confirm the parent will retain absolutely no continuing interest in the corporation — no board seat, no employment, no informal advisory role — and file the specific election waiving family attribution with the parent's tax return for the year of the redemption, along with the required agreement to notify the IRS if the parent acquires any prohibited interest in the corporation within the specified period afterward. With the waiver properly made, the redemption qualifies for capital-gain treatment despite the child's continued ownership.</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structure where the paperwork and the actual facts have to match exactly — a departing shareholder who quietly continues consulting for the business informally, even without pay, can undermine the entire complete-termination position regardless of how carefully the stock transfer itself and the attribution waiver were 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530A (Trump Accounts, as enacted) — tax-favored savings accounts for minors</w:t>
      </w:r>
    </w:p>
    <w:p>
      <w:pPr>
        <w:pStyle w:val="ListParagraph"/>
        <w:numPr>
          <w:ilvl w:val="0"/>
          <w:numId w:val="2"/>
        </w:numPr>
        <w:spacing w:after="60" w:line="276"/>
      </w:pPr>
      <w:r>
        <w:rPr>
          <w:rFonts w:ascii="Calibri" w:cs="Calibri" w:eastAsia="Calibri" w:hAnsi="Calibri"/>
          <w:sz w:val="21"/>
          <w:szCs w:val="21"/>
        </w:rPr>
        <w:t xml:space="preserve">IRS Form 4547 and related guidance for Trump Account elections</w:t>
      </w:r>
    </w:p>
    <w:p>
      <w:pPr>
        <w:spacing w:after="120"/>
      </w:pP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young child's future without restricting the funds specifically to education costs the way a 529 plan effectively does. After comparing the newer account type against a 529 plan and a standard custodial account, the parent opens one of these tax-favored accounts for the child, contributing within the applicable annual limit and letting the funds grow tax-deferred, while continuing to separately fund a 529 plan for anticipated education costs — using the two vehicles side by side for their different intended purposes rather than as substitutes for each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vehicle is new relative to the well-established 529 plan and custodial-account rules, treat any current understanding of its mechanics as provisional — confirm the latest guidance before making a significant funding decision, rather than relying on an initial impression of how the account will ultimately behave.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owners of a profitable, non-specified-service S-corporation are already paying themselves W-2 salaries well above the level needed to clear the QBI wage-limitation test, so the full 20% QBI deduction is not currently at risk. When their retirement-plan administrator proposes doubling their salaries to unlock a much larger profit-sharing contribution under the plan's design, the owners' advisor models the change as a single combined calculation rather than looking at the retirement benefit in isolation: the additional payroll tax on the higher wages, the dollar-for-dollar reduction in the QBI deduction as qualified business income shrinks by the same amount the salary increases, and the value of the larger retirement contribution the higher salary makes possible. Only after netting all three together — with the QBI erosion turning out to be a much larger drag than initially assumed — do the owners settle on a smaller wage increase than the plan administrator's design had originally proposed, one that still meaningfully increases their retirement contribution without giving up more QBI deduction than the retirement benefit is worth.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trade-off is easy to miss precisely because the retirement-plan side of the calculation is usually run by a plan administrator focused on maximizing plan contributions, while the QBI side sits with the tax preparer — unless someone deliberately models both together, the wage decision can be made without ever actually seeing the net number.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44 — expenditures to provide access to disabled individuals</w:t>
      </w:r>
    </w:p>
    <w:p>
      <w:pPr>
        <w:pStyle w:val="ListParagraph"/>
        <w:numPr>
          <w:ilvl w:val="0"/>
          <w:numId w:val="2"/>
        </w:numPr>
        <w:spacing w:after="60" w:line="276"/>
      </w:pPr>
      <w:r>
        <w:rPr>
          <w:rFonts w:ascii="Calibri" w:cs="Calibri" w:eastAsia="Calibri" w:hAnsi="Calibri"/>
          <w:sz w:val="21"/>
          <w:szCs w:val="21"/>
        </w:rPr>
        <w:t xml:space="preserve">IRS Form 8826 — disabled access credit</w:t>
      </w:r>
    </w:p>
    <w:p>
      <w:pPr>
        <w:spacing w:after="120"/>
      </w:pP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3121(b)(3)(A) — FICA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3306(c)(5) — FUTA exemption for a child employed by a parent</w:t>
      </w:r>
    </w:p>
    <w:p>
      <w:pPr>
        <w:pStyle w:val="ListParagraph"/>
        <w:numPr>
          <w:ilvl w:val="0"/>
          <w:numId w:val="2"/>
        </w:numPr>
        <w:spacing w:after="60" w:line="276"/>
      </w:pPr>
      <w:r>
        <w:rPr>
          <w:rFonts w:ascii="Calibri" w:cs="Calibri" w:eastAsia="Calibri" w:hAnsi="Calibri"/>
          <w:sz w:val="21"/>
          <w:szCs w:val="21"/>
        </w:rPr>
        <w:t xml:space="preserve">IRC § 1(g) — the "kiddie tax" on unearned income</w:t>
      </w:r>
    </w:p>
    <w:p>
      <w:pPr>
        <w:spacing w:after="120"/>
      </w:pP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1.263(a)-1(f) — de minimis safe harbor election</w:t>
      </w:r>
    </w:p>
    <w:p>
      <w:pPr>
        <w:pStyle w:val="ListParagraph"/>
        <w:numPr>
          <w:ilvl w:val="0"/>
          <w:numId w:val="2"/>
        </w:numPr>
        <w:spacing w:after="60" w:line="276"/>
      </w:pPr>
      <w:r>
        <w:rPr>
          <w:rFonts w:ascii="Calibri" w:cs="Calibri" w:eastAsia="Calibri" w:hAnsi="Calibri"/>
          <w:sz w:val="21"/>
          <w:szCs w:val="21"/>
        </w:rPr>
        <w:t xml:space="preserve">IRC § 263(a) — capital expenditures</w:t>
      </w:r>
    </w:p>
    <w:p>
      <w:pPr>
        <w:spacing w:after="120"/>
      </w:pP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529A — qualified ABLE programs</w:t>
      </w:r>
    </w:p>
    <w:p>
      <w:pPr>
        <w:pStyle w:val="ListParagraph"/>
        <w:numPr>
          <w:ilvl w:val="0"/>
          <w:numId w:val="2"/>
        </w:numPr>
        <w:spacing w:after="60" w:line="276"/>
      </w:pPr>
      <w:r>
        <w:rPr>
          <w:rFonts w:ascii="Calibri" w:cs="Calibri" w:eastAsia="Calibri" w:hAnsi="Calibri"/>
          <w:sz w:val="21"/>
          <w:szCs w:val="21"/>
        </w:rPr>
        <w:t xml:space="preserve">IRS Publication 907 — tax highlights for persons with disabilities</w:t>
      </w:r>
    </w:p>
    <w:p>
      <w:pPr>
        <w:spacing w:after="120"/>
      </w:pP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with a child who has a qualifying disability that began well before the applicable age threshold wants to set aside savings for the child's future needs without jeopardizing the child's eligibility for means-tested disability benefits later in life. Rather than saving in the child's name in an ordinary account, which could push the child over the strict asset limit those benefit programs impose, the family establishes this specialized tax-advantaged account for the child's benefit, contributing within the annual limit each year. The funds grow tax-free, and the family plans to use distributions for a range of disability-related expenses — education, therapy, adaptive equipment, and future housing needs — while the account balance, up to its own separate limit, does not count against the benefit programs' asset test the way ordinary savings in the child's name would.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account is worth setting up well before the family expects to need it, since the tax-free growth compounds over time — a family that waits until the child is closer to needing means-tested benefits loses years of tax-advantaged growth compared to one that opens the account as early as the child qualifies.</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2026-09-05T11:27:46.151Z</dcterms:created>
  <dcterms:modified xsi:type="dcterms:W3CDTF">2026-09-05T11:27:46.166Z</dcterms:modified>
</cp:coreProperties>
</file>

<file path=docProps/custom.xml><?xml version="1.0" encoding="utf-8"?>
<Properties xmlns="http://schemas.openxmlformats.org/officeDocument/2006/custom-properties" xmlns:vt="http://schemas.openxmlformats.org/officeDocument/2006/docPropsVTypes"/>
</file>