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earns well above the income threshold where direct Roth IRA contributions are phased out to zero, so neither can contribute to a Roth IRA directly. Neither has any existing traditional, SEP, or SIMPLE IRA balance. Each contributes the $7,000 annual maximum as a nondeductible contribution to a new traditional IRA — $14,000 combined — then, three weeks later, converts the full balance to a Roth IRA once a few dollars of interest have accrued. Because there are no other pre-tax IRA dollars anywhere for either spouse, the pro-rata rule has nothing to prorate against: the conversion is taxable only on the roughly $20 of interim interest earned, not on the $14,000 of principal, which was already after-tax money. Both spouses file Form 8606 for the contribution year documenting the $7,000 as nondeductible basis, and again for the conversion year. Contrast this with a similar couple where one spouse has a $200,000 rollover 401(k) sitting in a traditional IRA: contributing $7,000 nondeductible and converting it would be treated as roughly 97% pre-tax and 3% after-tax across the combined $207,000 balance — making about $6,780 of the $7,000 conversion taxable, not tax-free as intended, unless that $200,000 balance is first rolled into an employer 401(k) plan to remove it from the pro-rata calculation.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$23,500 maximum regular pre-tax deferral to her 401(k) for the year, and her employer has added a $9,000 matching contribution — $32,500 combined toward the overall § 415(c) annual-additions limit of $70,000. That leaves $37,500 of unused room under the higher combined-contribution ceiling. Her plan specifically permits additional after-tax employee contributions and in-plan Roth conversion, so she contributes the remaining $37,500 as after-tax dollars and converts it to the Roth portion of the same 401(k) within days, before any meaningful growth accrues. The result: she has sheltered $61,000 total in the plan for the year ($23,500 pre-tax deferral plus $37,500 mega-backdoor Roth, plus the $9,000 match) — nearly triple the $23,500 a standard 401(k) deferral alone would have allowed — with the $37,500 mega-backdoor portion now growing completely tax-free for the rest of her working life. Had her plan not permitted in-plan Roth conversion or in-service withdrawal of after-tax contributions, none of this $37,500 of extra room would have been usable this way, regardless of how much space existed under the $70,000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fund a new grandchild's 529 plan and have significant assets they would like to move out of their eventual taxable estate. At a $19,000 annual gift-tax exclusion per person per recipient, a single grandparent could ordinarily give only $19,000 tax-free to the grandchild this year. By electing five-year averaging under § 529(c)(2)(B), that same grandparent can instead contribute $95,000 ($19,000 × 5) in one lump sum today, treated as if it had been given $19,000 per year for five years — no gift tax owed, and none of the couple's combined multi-million-dollar lifetime exemption used, just a Form 709 filed to document the election. Because the grandmother and grandfather can each make this election, and each can do so separately for each grandchild, a couple with three grandchildren can move up to $570,000 ($95,000 × 2 grandparents × 3 grandchildren) out of their estate in a single year, all of it immediately invested and compounding tax-free for education rather than trickling in over five separate annual gifts. The tradeoff: if either grandparent gives any of these three grandchildren additional gifts during the next five years, or if a grandparent dies partway through the five-year period, the unused portion of that grandchild's election is added back into that grandparent's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cutting her taxable income to $62,000 and saving roughly $52,000 in federal tax at a 33% marginal rate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no like-kind exchange deferral is available either (§ 1031(h) specifically excludes foreign real property), so the full $300,000 is taxable in the year of sale — planning instead has to rely on other levers, such as timing the sale into a year with an offsetting capital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generating $600,000 of net trading gains. Without the § 475(f) election, every one of those 40,000 trades must be tracked individually for cost basis, holding period, and wash-sale adjustments — a bookkeeping burden that alone can cost tens of thousands of dollars in preparation fees, and any trades reopened within 30 days after a loss trigger wash-sale deferrals that further complicate the calculation. By electing mark-to-market on its very first return (available without the twelve-month advance-filing deadline that applies to an already-existing trader), the entity instead marks all open positions to their December 31 fair value once, reports the entire $600,000 as ordinary income on a single aggregated schedule, and the wash-sale rule is eliminated entirely for these positions. Because virtually all of the entity's activity was already short-term (and therefore ordinary income) regardless, the election costs nothing in rate terms — the $600,000 would have been taxed at ordinary rates either way — while saving an estimated $30,000-$50,000 in bookkeeping and preparation costs that lot-by-lot tracking of 40,000 trades would otherwise have required.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$55,000-a-year college tuition, well above the $19,000 annual gift-tax exclusion. Paying the university's bursar's office directly each semester ($27,500 per payment, $55,000 for the year) falls entirely under the unlimited educational-expense exclusion — no gift tax return required, and none of the grandparent's $19,000 annual exclusion or multi-million-dollar lifetime exemption is used, no matter how many years or how many grandchildren this is repeated for. The grandparent can then separately give the same grandchild up to $19,000 in cash that same year (for rent, books, or anything else) without either transfer affecting the other. Contrast this with a grandparent who instead deposits $55,000 into the grandchild's bank account, with an understanding it will be used for tuition: because the money passed through the grandchild's hands first, the entire $55,000 is a completed ordinary gift — $19,000 covered by the annual exclusion and the remaining $36,000 either using up part of the grandparent's lifetime exemption or, if unavailable, generating gift tax — solely because of which account the check was written to, not because of what the money was ultimately spent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 12 employees (10 of them non-highly-compensated) adopts a new 401(k) plan for the first time, paying its third-party administrator $6,500 in setup and first-year administration fees. The small-employer startup-cost credit covers a defined percentage of those costs (up to a cap that scales with the number of non-highly-compensated employees, commonly enough to cover 100% of costs for the smallest eligible employers) — in this case reimbursing the full $6,500 through the credit rather than the more limited amount a business might assume without checking the actual cap. Because the plan is also designed from day one with automatic enrollment (employees are enrolled by default unless they opt out), the business separately claims a flat $500-per-year auto-enrollment credit for each of the first three years, worth $1,500 total, regardless of how many employees the feature actually captures. In year two, the business also begins claiming a separate credit against a portion of its own matching contributions made on behalf of employees earning below the applicable compensation threshold — three distinct, stackable credits that together offset a meaningful share of what the owner had budgeted as a pure cost of starting the plan.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newborn's future without restricting the funds specifically to education costs the way a 529 plan effectively does. The parent opens a new tax-favored account for the child, contributing the applicable annual limit each year starting at birth, with the funds growing tax-deferred rather than taxed annually as they would be in an ordinary custodial brokerage account. If the child's employer-sponsored eligibility applies once the parent is employed at a company that offers it, an employer contribution on the child's behalf can stack on top of the parent's own contributions within the combined annual limit — money the family would not otherwise have received at all. The parent continues separately funding a 529 plan for anticipated college costs, using the two vehicles side by side: the 529 plan earmarked specifically for education, and the new account left flexible for whatever the child's needs turn out to be at the age the account becomes accessible — a down payment, a business, or expenses a 529 plan's education-only rules would not have covered without additional tax and penalty.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family's adult child has a qualifying disability that began well before age 26 and currently relies on Supplemental Security Income and Medicaid, both of which cut off benefits once the child's own assets exceed roughly $2,000 — a threshold so low that even a modest birthday-money savings account in the child's name could disqualify him. The family instead opens an ABLE account and contributes $19,000 in the first year (the annual contribution limit, tied to the gift-tax exclusion amount), which grows tax-free and does not count against the $2,000 SSI asset limit up to the ABLE account's own much higher balance cap (commonly in the $100,000-plus range depending on the state program, above which SSI, though not Medicaid, can be suspended until the balance drops back down). Over the next fifteen years, the family contributes $19,000 annually, and the account grows to roughly $410,000 assuming modest investment returns — money the child draws on for adaptive equipment, therapy copays, and housing modifications, all as qualifying disability expenses, without ever jeopardizing the SSI and Medicaid coverage the family could not otherwise replace privately. Had the family instead simply saved the same amount in a custodial account in the child's name, the very first $2,000 of savings would have put his benefits at risk.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$1,500,000 inheritance to an adult child with a lifelong disability who relies on means-tested government benefits covering her basic housing and medical care — benefits that would terminate immediately if she received that $1,500,000 directly, since it is many times over the roughly $2,000 asset limit those programs impose. Instead, the family's estate plan directs the full $1,500,000 into a special needs trust rather than to the daughter personally, naming a sibling as co-trustee alongside a professional trust company. Because the daughter has no direct control over the trust and no right to demand distributions — only the trustees' discretion to spend on her behalf — the $1,500,000 is never treated as her own asset for benefit-eligibility purposes, no matter how large the trust grows. Over the following decades, the trustees draw on the trust for supplemental needs the government benefits do not cover — specialized therapy, an accessible vehicle, travel, and enrichment activities — spending perhaps $40,000-$60,000 a year, while her basic care and housing support continue uninterrupted through the government programs the trust was specifically drafted never to disqualify her from. A comparable but far smaller ABLE account, capped at roughly $19,000 in new contributions per year, could not have absorbed a bequest of this size at all — the two vehicles serve genuinely different scales of the same underlying problem.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2026-09-06T11:28:19.615Z</dcterms:created>
  <dcterms:modified xsi:type="dcterms:W3CDTF">2026-09-06T11:28:19.615Z</dcterms:modified>
</cp:coreProperties>
</file>

<file path=docProps/custom.xml><?xml version="1.0" encoding="utf-8"?>
<Properties xmlns="http://schemas.openxmlformats.org/officeDocument/2006/custom-properties" xmlns:vt="http://schemas.openxmlformats.org/officeDocument/2006/docPropsVTypes"/>
</file>