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56"/>
          <w:szCs w:val="56"/>
        </w:rPr>
        <w:t xml:space="preserve">Tax Planning Strategies</w:t>
      </w:r>
    </w:p>
    <w:p>
      <w:pPr>
        <w:spacing w:after="200"/>
        <w:jc w:val="center"/>
      </w:pPr>
      <w:r>
        <w:rPr>
          <w:rFonts w:ascii="Calibri" w:cs="Calibri" w:eastAsia="Calibri" w:hAnsi="Calibri"/>
          <w:b/>
          <w:bCs/>
          <w:color w:val="2E5496"/>
          <w:sz w:val="32"/>
          <w:szCs w:val="32"/>
        </w:rPr>
        <w:t xml:space="preserve">A Practitioner’s Guide to Small-Business &amp; Owner Tax Planning</w:t>
      </w:r>
    </w:p>
    <w:p>
      <w:pPr>
        <w:spacing w:after="200"/>
        <w:jc w:val="center"/>
      </w:pPr>
      <w:r>
        <w:rPr>
          <w:rFonts w:ascii="Calibri" w:cs="Calibri" w:eastAsia="Calibri" w:hAnsi="Calibri"/>
          <w:b/>
          <w:bCs/>
          <w:color w:val="595959"/>
          <w:sz w:val="24"/>
          <w:szCs w:val="24"/>
        </w:rPr>
        <w:t xml:space="preserve">Study Guide • 10 Study Units</w:t>
      </w:r>
    </w:p>
    <w:p>
      <w:r>
        <w:br w:type="page"/>
      </w:r>
    </w:p>
    <w:p>
      <w:pPr>
        <w:spacing w:after="200"/>
      </w:pPr>
      <w:r>
        <w:rPr>
          <w:rFonts w:ascii="Calibri" w:cs="Calibri" w:eastAsia="Calibri" w:hAnsi="Calibri"/>
          <w:b/>
          <w:bCs/>
          <w:color w:val="1F3864"/>
          <w:sz w:val="28"/>
          <w:szCs w:val="28"/>
        </w:rPr>
        <w:t xml:space="preserve">Table of Contents</w:t>
      </w:r>
    </w:p>
    <w:p>
      <w:pPr>
        <w:spacing w:after="100"/>
      </w:pPr>
      <w:r>
        <w:rPr>
          <w:rFonts w:ascii="Calibri" w:cs="Calibri" w:eastAsia="Calibri" w:hAnsi="Calibri"/>
          <w:sz w:val="21"/>
          <w:szCs w:val="21"/>
        </w:rPr>
        <w:t xml:space="preserve">Study Unit 1: Reasonable Compensation for S-Corporation Owners</w:t>
      </w:r>
      <w:r>
        <w:rPr>
          <w:rFonts w:ascii="Calibri" w:cs="Calibri" w:eastAsia="Calibri" w:hAnsi="Calibri"/>
          <w:sz w:val="21"/>
          <w:szCs w:val="21"/>
        </w:rPr>
        <w:ptab w:alignment="right" w:relativeTo="margin" w:leader="dot"/>
        <w:t xml:space="preserve">3</w:t>
      </w:r>
    </w:p>
    <w:p>
      <w:pPr>
        <w:spacing w:after="100"/>
      </w:pPr>
      <w:r>
        <w:rPr>
          <w:rFonts w:ascii="Calibri" w:cs="Calibri" w:eastAsia="Calibri" w:hAnsi="Calibri"/>
          <w:sz w:val="21"/>
          <w:szCs w:val="21"/>
        </w:rPr>
        <w:t xml:space="preserve">Study Unit 2: Retirement Plan Design for Owner-Heavy Businesses</w:t>
      </w:r>
      <w:r>
        <w:rPr>
          <w:rFonts w:ascii="Calibri" w:cs="Calibri" w:eastAsia="Calibri" w:hAnsi="Calibri"/>
          <w:sz w:val="21"/>
          <w:szCs w:val="21"/>
        </w:rPr>
        <w:ptab w:alignment="right" w:relativeTo="margin" w:leader="dot"/>
        <w:t xml:space="preserve">5</w:t>
      </w:r>
    </w:p>
    <w:p>
      <w:pPr>
        <w:spacing w:after="100"/>
      </w:pPr>
      <w:r>
        <w:rPr>
          <w:rFonts w:ascii="Calibri" w:cs="Calibri" w:eastAsia="Calibri" w:hAnsi="Calibri"/>
          <w:sz w:val="21"/>
          <w:szCs w:val="21"/>
        </w:rPr>
        <w:t xml:space="preserve">Study Unit 3: Real Estate Strategy — Buy vs. Rent, § 469 Grouping &amp; Cost Segregation</w:t>
      </w:r>
      <w:r>
        <w:rPr>
          <w:rFonts w:ascii="Calibri" w:cs="Calibri" w:eastAsia="Calibri" w:hAnsi="Calibri"/>
          <w:sz w:val="21"/>
          <w:szCs w:val="21"/>
        </w:rPr>
        <w:ptab w:alignment="right" w:relativeTo="margin" w:leader="dot"/>
        <w:t xml:space="preserve">7</w:t>
      </w:r>
    </w:p>
    <w:p>
      <w:pPr>
        <w:spacing w:after="100"/>
      </w:pPr>
      <w:r>
        <w:rPr>
          <w:rFonts w:ascii="Calibri" w:cs="Calibri" w:eastAsia="Calibri" w:hAnsi="Calibri"/>
          <w:sz w:val="21"/>
          <w:szCs w:val="21"/>
        </w:rPr>
        <w:t xml:space="preserve">Study Unit 4: Fixed-Asset Capitalization &amp; Depreciation Recapture</w:t>
      </w:r>
      <w:r>
        <w:rPr>
          <w:rFonts w:ascii="Calibri" w:cs="Calibri" w:eastAsia="Calibri" w:hAnsi="Calibri"/>
          <w:sz w:val="21"/>
          <w:szCs w:val="21"/>
        </w:rPr>
        <w:ptab w:alignment="right" w:relativeTo="margin" w:leader="dot"/>
        <w:t xml:space="preserve">9</w:t>
      </w:r>
    </w:p>
    <w:p>
      <w:pPr>
        <w:spacing w:after="100"/>
      </w:pPr>
      <w:r>
        <w:rPr>
          <w:rFonts w:ascii="Calibri" w:cs="Calibri" w:eastAsia="Calibri" w:hAnsi="Calibri"/>
          <w:sz w:val="21"/>
          <w:szCs w:val="21"/>
        </w:rPr>
        <w:t xml:space="preserve">Study Unit 5: Home Office Deductions &amp; the Accountable Plan</w:t>
      </w:r>
      <w:r>
        <w:rPr>
          <w:rFonts w:ascii="Calibri" w:cs="Calibri" w:eastAsia="Calibri" w:hAnsi="Calibri"/>
          <w:sz w:val="21"/>
          <w:szCs w:val="21"/>
        </w:rPr>
        <w:ptab w:alignment="right" w:relativeTo="margin" w:leader="dot"/>
        <w:t xml:space="preserve">11</w:t>
      </w:r>
    </w:p>
    <w:p>
      <w:pPr>
        <w:spacing w:after="100"/>
      </w:pPr>
      <w:r>
        <w:rPr>
          <w:rFonts w:ascii="Calibri" w:cs="Calibri" w:eastAsia="Calibri" w:hAnsi="Calibri"/>
          <w:sz w:val="21"/>
          <w:szCs w:val="21"/>
        </w:rPr>
        <w:t xml:space="preserve">Study Unit 6: The Augusta Rule (§ 280A(g))</w:t>
      </w:r>
      <w:r>
        <w:rPr>
          <w:rFonts w:ascii="Calibri" w:cs="Calibri" w:eastAsia="Calibri" w:hAnsi="Calibri"/>
          <w:sz w:val="21"/>
          <w:szCs w:val="21"/>
        </w:rPr>
        <w:ptab w:alignment="right" w:relativeTo="margin" w:leader="dot"/>
        <w:t xml:space="preserve">13</w:t>
      </w:r>
    </w:p>
    <w:p>
      <w:pPr>
        <w:spacing w:after="100"/>
      </w:pPr>
      <w:r>
        <w:rPr>
          <w:rFonts w:ascii="Calibri" w:cs="Calibri" w:eastAsia="Calibri" w:hAnsi="Calibri"/>
          <w:sz w:val="21"/>
          <w:szCs w:val="21"/>
        </w:rPr>
        <w:t xml:space="preserve">Study Unit 7: Entity Structure &amp; Pass-Through Optimization</w:t>
      </w:r>
      <w:r>
        <w:rPr>
          <w:rFonts w:ascii="Calibri" w:cs="Calibri" w:eastAsia="Calibri" w:hAnsi="Calibri"/>
          <w:sz w:val="21"/>
          <w:szCs w:val="21"/>
        </w:rPr>
        <w:ptab w:alignment="right" w:relativeTo="margin" w:leader="dot"/>
        <w:t xml:space="preserve">15</w:t>
      </w:r>
    </w:p>
    <w:p>
      <w:pPr>
        <w:spacing w:after="100"/>
      </w:pPr>
      <w:r>
        <w:rPr>
          <w:rFonts w:ascii="Calibri" w:cs="Calibri" w:eastAsia="Calibri" w:hAnsi="Calibri"/>
          <w:sz w:val="21"/>
          <w:szCs w:val="21"/>
        </w:rPr>
        <w:t xml:space="preserve">Study Unit 8: Investment Income, Idle Cash &amp; Capital Loss Planning</w:t>
      </w:r>
      <w:r>
        <w:rPr>
          <w:rFonts w:ascii="Calibri" w:cs="Calibri" w:eastAsia="Calibri" w:hAnsi="Calibri"/>
          <w:sz w:val="21"/>
          <w:szCs w:val="21"/>
        </w:rPr>
        <w:ptab w:alignment="right" w:relativeTo="margin" w:leader="dot"/>
        <w:t xml:space="preserve">17</w:t>
      </w:r>
    </w:p>
    <w:p>
      <w:pPr>
        <w:spacing w:after="100"/>
      </w:pPr>
      <w:r>
        <w:rPr>
          <w:rFonts w:ascii="Calibri" w:cs="Calibri" w:eastAsia="Calibri" w:hAnsi="Calibri"/>
          <w:sz w:val="21"/>
          <w:szCs w:val="21"/>
        </w:rPr>
        <w:t xml:space="preserve">Study Unit 9: Employee Benefits — HSAs &amp; Self-Employed Health Insurance</w:t>
      </w:r>
      <w:r>
        <w:rPr>
          <w:rFonts w:ascii="Calibri" w:cs="Calibri" w:eastAsia="Calibri" w:hAnsi="Calibri"/>
          <w:sz w:val="21"/>
          <w:szCs w:val="21"/>
        </w:rPr>
        <w:ptab w:alignment="right" w:relativeTo="margin" w:leader="dot"/>
        <w:t xml:space="preserve">19</w:t>
      </w:r>
    </w:p>
    <w:p>
      <w:pPr>
        <w:spacing w:after="100"/>
      </w:pPr>
      <w:r>
        <w:rPr>
          <w:rFonts w:ascii="Calibri" w:cs="Calibri" w:eastAsia="Calibri" w:hAnsi="Calibri"/>
          <w:sz w:val="21"/>
          <w:szCs w:val="21"/>
        </w:rPr>
        <w:t xml:space="preserve">Study Unit 10: Tax Planning Process &amp; Risk Management</w:t>
      </w:r>
      <w:r>
        <w:rPr>
          <w:rFonts w:ascii="Calibri" w:cs="Calibri" w:eastAsia="Calibri" w:hAnsi="Calibri"/>
          <w:sz w:val="21"/>
          <w:szCs w:val="21"/>
        </w:rPr>
        <w:ptab w:alignment="right" w:relativeTo="margin" w:leader="dot"/>
        <w:t xml:space="preserve">21</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1: Reasonable Compensation for S-Corporation Owners</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3121(d) — definition of employee</w:t>
      </w:r>
    </w:p>
    <w:p>
      <w:pPr>
        <w:pStyle w:val="ListParagraph"/>
        <w:numPr>
          <w:ilvl w:val="0"/>
          <w:numId w:val="2"/>
        </w:numPr>
        <w:spacing w:after="60" w:line="276"/>
      </w:pPr>
      <w:r>
        <w:rPr>
          <w:rFonts w:ascii="Calibri" w:cs="Calibri" w:eastAsia="Calibri" w:hAnsi="Calibri"/>
          <w:sz w:val="21"/>
          <w:szCs w:val="21"/>
        </w:rPr>
        <w:t xml:space="preserve">IRS Fact Sheet FS-2008-25, Wage Compensation for S Corporation Officers</w:t>
      </w:r>
    </w:p>
    <w:p>
      <w:pPr>
        <w:pStyle w:val="ListParagraph"/>
        <w:numPr>
          <w:ilvl w:val="0"/>
          <w:numId w:val="2"/>
        </w:numPr>
        <w:spacing w:after="60" w:line="276"/>
      </w:pPr>
      <w:r>
        <w:rPr>
          <w:rFonts w:ascii="Calibri" w:cs="Calibri" w:eastAsia="Calibri" w:hAnsi="Calibri"/>
          <w:sz w:val="21"/>
          <w:szCs w:val="21"/>
        </w:rPr>
        <w:t xml:space="preserve">Rev. Rul. 74-44</w:t>
      </w:r>
    </w:p>
    <w:p>
      <w:pPr>
        <w:spacing w:after="120"/>
      </w:pPr>
    </w:p>
    <w:p>
      <w:pPr>
        <w:spacing w:after="140" w:line="276"/>
      </w:pPr>
      <w:r>
        <w:rPr>
          <w:rFonts w:ascii="Calibri" w:cs="Calibri" w:eastAsia="Calibri" w:hAnsi="Calibri"/>
          <w:sz w:val="21"/>
          <w:szCs w:val="21"/>
        </w:rPr>
        <w:t xml:space="preserve">An S corporation lets an owner-employee split earnings between W-2 wages (subject to payroll/FICA tax) and distributions (not subject to payroll tax). The IRS requires that the wage portion be "reasonable" — roughly what an unrelated employer would pay someone doing the same job. Paying an artificially low salary while taking large distributions is the single most common audit trigger for owner-operated S corporations, and it is the strategy that most directly protects every other strategy in this guide, because a DB/401(k) contribution, an accountable-plan reimbursement, and QBI all sit on top of a payroll figure the IRS can challenge.</w:t>
      </w:r>
    </w:p>
    <w:p>
      <w:pPr>
        <w:pStyle w:val="Heading2"/>
        <w:spacing w:after="80" w:before="200"/>
      </w:pPr>
      <w:r>
        <w:rPr>
          <w:rFonts w:ascii="Calibri" w:cs="Calibri" w:eastAsia="Calibri" w:hAnsi="Calibri"/>
          <w:b/>
          <w:bCs/>
          <w:color w:val="2E5496"/>
          <w:sz w:val="24"/>
          <w:szCs w:val="24"/>
        </w:rPr>
        <w:t xml:space="preserve">Why the IRS Cares</w:t>
      </w:r>
    </w:p>
    <w:p>
      <w:pPr>
        <w:spacing w:after="140" w:line="276"/>
      </w:pPr>
      <w:r>
        <w:rPr>
          <w:rFonts w:ascii="Calibri" w:cs="Calibri" w:eastAsia="Calibri" w:hAnsi="Calibri"/>
          <w:sz w:val="21"/>
          <w:szCs w:val="21"/>
        </w:rPr>
        <w:t xml:space="preserve">Wages are subject to Social Security and Medicare (FICA) tax on both the employee and employer side; S-corp distributions are not. An owner who underpays wages and overpays distributions is, in effect, converting payroll-taxable income into payroll-tax-free income — which is exactly the abuse Congress and the IRS created the S-corp reasonable-comp doctrine to police.</w:t>
      </w:r>
    </w:p>
    <w:p>
      <w:pPr>
        <w:spacing w:after="140" w:line="276"/>
      </w:pPr>
      <w:r>
        <w:rPr>
          <w:rFonts w:ascii="Calibri" w:cs="Calibri" w:eastAsia="Calibri" w:hAnsi="Calibri"/>
          <w:sz w:val="21"/>
          <w:szCs w:val="21"/>
        </w:rPr>
        <w:t xml:space="preserve">On examination, the IRS can recharacterize distributions as wages retroactively. That reclassification carries back payroll tax (both halves), the failure-to-deposit and failure-to-file penalties on payroll tax returns that were never filed, and interest — often turning a single bad year into a five-figure exposure once the S corporation has more than one or two owners drawing distributions.</w:t>
      </w:r>
    </w:p>
    <w:p>
      <w:pPr>
        <w:pStyle w:val="ListParagraph"/>
        <w:numPr>
          <w:ilvl w:val="0"/>
          <w:numId w:val="2"/>
        </w:numPr>
        <w:spacing w:after="60" w:line="276"/>
      </w:pPr>
      <w:r>
        <w:rPr>
          <w:rFonts w:ascii="Calibri" w:cs="Calibri" w:eastAsia="Calibri" w:hAnsi="Calibri"/>
          <w:sz w:val="21"/>
          <w:szCs w:val="21"/>
        </w:rPr>
        <w:t xml:space="preserve">Factors the IRS and courts weigh: training/experience, duties and responsibilities, time devoted, comparable-business pay data, what non-owner employees are paid for similar work, and distribution history.</w:t>
      </w:r>
    </w:p>
    <w:p>
      <w:pPr>
        <w:pStyle w:val="ListParagraph"/>
        <w:numPr>
          <w:ilvl w:val="0"/>
          <w:numId w:val="2"/>
        </w:numPr>
        <w:spacing w:after="60" w:line="276"/>
      </w:pPr>
      <w:r>
        <w:rPr>
          <w:rFonts w:ascii="Calibri" w:cs="Calibri" w:eastAsia="Calibri" w:hAnsi="Calibri"/>
          <w:sz w:val="21"/>
          <w:szCs w:val="21"/>
        </w:rPr>
        <w:t xml:space="preserve">A red flag pattern: non-owner staff earning more in W-2 wages than the owner-employees, while the owners take six-figure distributions.</w:t>
      </w:r>
    </w:p>
    <w:p>
      <w:pPr>
        <w:pStyle w:val="ListParagraph"/>
        <w:numPr>
          <w:ilvl w:val="0"/>
          <w:numId w:val="2"/>
        </w:numPr>
        <w:spacing w:after="60" w:line="276"/>
      </w:pPr>
      <w:r>
        <w:rPr>
          <w:rFonts w:ascii="Calibri" w:cs="Calibri" w:eastAsia="Calibri" w:hAnsi="Calibri"/>
          <w:sz w:val="21"/>
          <w:szCs w:val="21"/>
        </w:rPr>
        <w:t xml:space="preserve">The fix is prospective, not retroactive — practitioners should never advise amending prior-year payroll after the fact; the correction is to raise compensation going forward and run it consistently through payroll before year-end.</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two-owner home-services S corporation grows from $220K to $1.5M in gross receipts over three years. The owners keep their own W-2 pay near $39,000 each while two non-owner staff earn $49,000–$59,000, and the owners take over $100,000 in annual distributions. On audit, this is a textbook reclassification case: the preparer’s recommendation is to raise each owner’s salary to the $80,000–$110,000 range (informed by comparable local wage data for the role) and run it through payroll before year-end, rather than leaving it as a year-end true-up decision.</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Reasonable comp is evaluated per owner, not combined across owners. "We pay ourselves $80,000 between the two of us" is not the same defense as "$80,000 each," and organizers or bookkeeping summaries can blur that distinction.</w:t>
      </w:r>
    </w:p>
    <w:p>
      <w:pPr>
        <w:pStyle w:val="Heading2"/>
        <w:spacing w:after="80" w:before="200"/>
      </w:pPr>
      <w:r>
        <w:rPr>
          <w:rFonts w:ascii="Calibri" w:cs="Calibri" w:eastAsia="Calibri" w:hAnsi="Calibri"/>
          <w:b/>
          <w:bCs/>
          <w:color w:val="2E5496"/>
          <w:sz w:val="24"/>
          <w:szCs w:val="24"/>
        </w:rPr>
        <w:t xml:space="preserve">Routing Bonuses and Owner Compensation Correctly</w:t>
      </w:r>
    </w:p>
    <w:p>
      <w:pPr>
        <w:spacing w:after="140" w:line="276"/>
      </w:pPr>
      <w:r>
        <w:rPr>
          <w:rFonts w:ascii="Calibri" w:cs="Calibri" w:eastAsia="Calibri" w:hAnsi="Calibri"/>
          <w:sz w:val="21"/>
          <w:szCs w:val="21"/>
        </w:rPr>
        <w:t xml:space="preserve">Year-end bonuses to owner-employees should be paid through W-2 payroll, not issued as an extra distribution. Paying a bonus as wages reinforces the reasonable-comp position (it raises the total wage figure the IRS will benchmark) and it is deductible to the corporation on the same terms as any other payroll cost.</w:t>
      </w:r>
    </w:p>
    <w:p>
      <w:pPr>
        <w:pStyle w:val="ListParagraph"/>
        <w:numPr>
          <w:ilvl w:val="0"/>
          <w:numId w:val="2"/>
        </w:numPr>
        <w:spacing w:after="60" w:line="276"/>
      </w:pPr>
      <w:r>
        <w:rPr>
          <w:rFonts w:ascii="Calibri" w:cs="Calibri" w:eastAsia="Calibri" w:hAnsi="Calibri"/>
          <w:sz w:val="21"/>
          <w:szCs w:val="21"/>
        </w:rPr>
        <w:t xml:space="preserve">Run owner bonuses through the payroll provider before year-end so FICA is withheld and reported on the W-2, not issued as a separate distribution check.</w:t>
      </w:r>
    </w:p>
    <w:p>
      <w:pPr>
        <w:pStyle w:val="ListParagraph"/>
        <w:numPr>
          <w:ilvl w:val="0"/>
          <w:numId w:val="2"/>
        </w:numPr>
        <w:spacing w:after="60" w:line="276"/>
      </w:pPr>
      <w:r>
        <w:rPr>
          <w:rFonts w:ascii="Calibri" w:cs="Calibri" w:eastAsia="Calibri" w:hAnsi="Calibri"/>
          <w:sz w:val="21"/>
          <w:szCs w:val="21"/>
        </w:rPr>
        <w:t xml:space="preserve">Coordinate the bonus amount with retirement-plan modeling (Study Unit 2) since a higher salary base can also increase the maximum qualified-plan contribution.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2: Retirement Plan Design for Owner-Heavy Businesses</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401(a) and § 412 — qualified plan and DB funding rules</w:t>
      </w:r>
    </w:p>
    <w:p>
      <w:pPr>
        <w:pStyle w:val="ListParagraph"/>
        <w:numPr>
          <w:ilvl w:val="0"/>
          <w:numId w:val="2"/>
        </w:numPr>
        <w:spacing w:after="60" w:line="276"/>
      </w:pPr>
      <w:r>
        <w:rPr>
          <w:rFonts w:ascii="Calibri" w:cs="Calibri" w:eastAsia="Calibri" w:hAnsi="Calibri"/>
          <w:sz w:val="21"/>
          <w:szCs w:val="21"/>
        </w:rPr>
        <w:t xml:space="preserve">SECURE 2.0 Act § 45E — small-employer plan startup credit</w:t>
      </w:r>
    </w:p>
    <w:p>
      <w:pPr>
        <w:pStyle w:val="ListParagraph"/>
        <w:numPr>
          <w:ilvl w:val="0"/>
          <w:numId w:val="2"/>
        </w:numPr>
        <w:spacing w:after="60" w:line="276"/>
      </w:pPr>
      <w:r>
        <w:rPr>
          <w:rFonts w:ascii="Calibri" w:cs="Calibri" w:eastAsia="Calibri" w:hAnsi="Calibri"/>
          <w:sz w:val="21"/>
          <w:szCs w:val="21"/>
        </w:rPr>
        <w:t xml:space="preserve">IRS Publication 560, Retirement Plans for Small Business</w:t>
      </w:r>
    </w:p>
    <w:p>
      <w:pPr>
        <w:spacing w:after="120"/>
      </w:pPr>
    </w:p>
    <w:p>
      <w:pPr>
        <w:spacing w:after="140" w:line="276"/>
      </w:pPr>
      <w:r>
        <w:rPr>
          <w:rFonts w:ascii="Calibri" w:cs="Calibri" w:eastAsia="Calibri" w:hAnsi="Calibri"/>
          <w:sz w:val="21"/>
          <w:szCs w:val="21"/>
        </w:rPr>
        <w:t xml:space="preserve">For a profitable business with only a few non-owner employees, retirement plan design is often the single largest deduction lever available — larger than any one-time expense strategy. The choice is generally between a straightforward 401(k)-based plan and a cash-balance defined-benefit (DB) plan layered on top of one, and the right choice depends heavily on the owner-to-employee ratio and each owner’s age.</w:t>
      </w:r>
    </w:p>
    <w:p>
      <w:pPr>
        <w:pStyle w:val="Heading2"/>
        <w:spacing w:after="80" w:before="200"/>
      </w:pPr>
      <w:r>
        <w:rPr>
          <w:rFonts w:ascii="Calibri" w:cs="Calibri" w:eastAsia="Calibri" w:hAnsi="Calibri"/>
          <w:b/>
          <w:bCs/>
          <w:color w:val="2E5496"/>
          <w:sz w:val="24"/>
          <w:szCs w:val="24"/>
        </w:rPr>
        <w:t xml:space="preserve">Safe-Harbor 401(k) with Profit Sharing</w:t>
      </w:r>
    </w:p>
    <w:p>
      <w:pPr>
        <w:spacing w:after="140" w:line="276"/>
      </w:pPr>
      <w:r>
        <w:rPr>
          <w:rFonts w:ascii="Calibri" w:cs="Calibri" w:eastAsia="Calibri" w:hAnsi="Calibri"/>
          <w:sz w:val="21"/>
          <w:szCs w:val="21"/>
        </w:rPr>
        <w:t xml:space="preserve">A safe-harbor 401(k) lets owners defer a set statutory maximum each year ($23,500 for 2025, indexed annually, plus catch-up amounts for those 50+) with pre-tax dollars, while a matching or profit-sharing formula covers non-owner staff. It is simple to administer and the natural base layer, but on its own it caps out well below what many profitable owner-heavy businesses could otherwise shelter.</w:t>
      </w:r>
    </w:p>
    <w:p>
      <w:pPr>
        <w:pStyle w:val="Heading2"/>
        <w:spacing w:after="80" w:before="200"/>
      </w:pPr>
      <w:r>
        <w:rPr>
          <w:rFonts w:ascii="Calibri" w:cs="Calibri" w:eastAsia="Calibri" w:hAnsi="Calibri"/>
          <w:b/>
          <w:bCs/>
          <w:color w:val="2E5496"/>
          <w:sz w:val="24"/>
          <w:szCs w:val="24"/>
        </w:rPr>
        <w:t xml:space="preserve">Cash-Balance Defined-Benefit Plans</w:t>
      </w:r>
    </w:p>
    <w:p>
      <w:pPr>
        <w:spacing w:after="140" w:line="276"/>
      </w:pPr>
      <w:r>
        <w:rPr>
          <w:rFonts w:ascii="Calibri" w:cs="Calibri" w:eastAsia="Calibri" w:hAnsi="Calibri"/>
          <w:sz w:val="21"/>
          <w:szCs w:val="21"/>
        </w:rPr>
        <w:t xml:space="preserve">A cash-balance DB plan is an actuarially designed plan that can allow older, higher-earning owners to contribute far more than a 401(k) alone — often $60,000–$90,000+ each, compared to a 401(k) deferral limit in the twenties of thousands. Because the contribution formula is weighted by age, ownership, and salary (calculated by a third-party administrator/actuary, not the payroll system), an owner-heavy business with only one or two rank-and-file employees can direct roughly 90%+ of total plan contributions to the owners themselves, with the required contribution for staff running around 5% of the plan amount.</w:t>
      </w:r>
    </w:p>
    <w:p>
      <w:pPr>
        <w:spacing w:after="140" w:line="276"/>
      </w:pPr>
      <w:r>
        <w:rPr>
          <w:rFonts w:ascii="Calibri" w:cs="Calibri" w:eastAsia="Calibri" w:hAnsi="Calibri"/>
          <w:sz w:val="21"/>
          <w:szCs w:val="21"/>
        </w:rPr>
        <w:t xml:space="preserve">A DB plan can be stacked on top of a 401(k)/profit-sharing plan (the 401(k) becomes the base hit; the DB plan is the mountain mover), and contributions are deductible to the business and can be funded up to the extended due date of the return, which gives significant cash-flow flexibility for a business sitting on idle cash.</w:t>
      </w:r>
    </w:p>
    <w:p>
      <w:pPr>
        <w:pStyle w:val="ListParagraph"/>
        <w:numPr>
          <w:ilvl w:val="0"/>
          <w:numId w:val="2"/>
        </w:numPr>
        <w:spacing w:after="60" w:line="276"/>
      </w:pPr>
      <w:r>
        <w:rPr>
          <w:rFonts w:ascii="Calibri" w:cs="Calibri" w:eastAsia="Calibri" w:hAnsi="Calibri"/>
          <w:sz w:val="21"/>
          <w:szCs w:val="21"/>
        </w:rPr>
        <w:t xml:space="preserve">Best fit: profitable, owner-heavy businesses with few non-owner employees, where owners are at an age/income level to benefit from an age-weighted formula (generally more powerful for owners in their 40s– 60s).</w:t>
      </w:r>
    </w:p>
    <w:p>
      <w:pPr>
        <w:pStyle w:val="ListParagraph"/>
        <w:numPr>
          <w:ilvl w:val="0"/>
          <w:numId w:val="2"/>
        </w:numPr>
        <w:spacing w:after="60" w:line="276"/>
      </w:pPr>
      <w:r>
        <w:rPr>
          <w:rFonts w:ascii="Calibri" w:cs="Calibri" w:eastAsia="Calibri" w:hAnsi="Calibri"/>
          <w:sz w:val="21"/>
          <w:szCs w:val="21"/>
        </w:rPr>
        <w:t xml:space="preserve">Requires a comp prerequisite: contribution limits are salary-based, so an artificially low reasonable-comp figure (Study Unit 1) will cap the DB contribution well below its potential — the two decisions must be modeled together.</w:t>
      </w:r>
    </w:p>
    <w:p>
      <w:pPr>
        <w:pStyle w:val="ListParagraph"/>
        <w:numPr>
          <w:ilvl w:val="0"/>
          <w:numId w:val="2"/>
        </w:numPr>
        <w:spacing w:after="60" w:line="276"/>
      </w:pPr>
      <w:r>
        <w:rPr>
          <w:rFonts w:ascii="Calibri" w:cs="Calibri" w:eastAsia="Calibri" w:hAnsi="Calibri"/>
          <w:sz w:val="21"/>
          <w:szCs w:val="21"/>
        </w:rPr>
        <w:t xml:space="preserve">Requires an actuarial/TPA illustration before committing; the plan must generally be maintained for several years to avoid unwinding costs.</w:t>
      </w:r>
    </w:p>
    <w:p>
      <w:pPr>
        <w:pStyle w:val="Heading2"/>
        <w:spacing w:after="80" w:before="200"/>
      </w:pPr>
      <w:r>
        <w:rPr>
          <w:rFonts w:ascii="Calibri" w:cs="Calibri" w:eastAsia="Calibri" w:hAnsi="Calibri"/>
          <w:b/>
          <w:bCs/>
          <w:color w:val="2E5496"/>
          <w:sz w:val="24"/>
          <w:szCs w:val="24"/>
        </w:rPr>
        <w:t xml:space="preserve">The Retirement Plan Startup Credit</w:t>
      </w:r>
    </w:p>
    <w:p>
      <w:pPr>
        <w:spacing w:after="140" w:line="276"/>
      </w:pPr>
      <w:r>
        <w:rPr>
          <w:rFonts w:ascii="Calibri" w:cs="Calibri" w:eastAsia="Calibri" w:hAnsi="Calibri"/>
          <w:sz w:val="21"/>
          <w:szCs w:val="21"/>
        </w:rPr>
        <w:t xml:space="preserve">SECURE 2.0 § 45E offers a small-employer tax credit for the cost of establishing a new 401(k) or DB plan, potentially covering much of the administrative startup cost for the first three years, plus an additional credit for auto-enrollment features and one tied to employer contributions for very small employers. This meaningfully offsets the cost objection that often stalls a new-plan decision.</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two-owner S corporation with two non-owner employees is modeling a cash-balance DB plan. The illustration shows the owners could each contribute $60,000–$90,000 (total deduction $120,000–$180,000), funding required for the two staff members of roughly $6,000–$10,000 combined, and estimated tax savings of $60,000–$100,000 once the 401(k) deferral option is layered in — by far the largest single lever available to the business that year.</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HSA contributions for employees are a smaller, easier "base hit" that can be implemented immediately while a DB plan illustration is still pending — the two are not mutually exclusive and often move on different timelines.</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3: Real Estate Strategy — Buy vs. Rent, § 469 Grouping &amp; Cost Segregation</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469 — passive activity loss rules and grouping elections</w:t>
      </w:r>
    </w:p>
    <w:p>
      <w:pPr>
        <w:pStyle w:val="ListParagraph"/>
        <w:numPr>
          <w:ilvl w:val="0"/>
          <w:numId w:val="2"/>
        </w:numPr>
        <w:spacing w:after="60" w:line="276"/>
      </w:pPr>
      <w:r>
        <w:rPr>
          <w:rFonts w:ascii="Calibri" w:cs="Calibri" w:eastAsia="Calibri" w:hAnsi="Calibri"/>
          <w:sz w:val="21"/>
          <w:szCs w:val="21"/>
        </w:rPr>
        <w:t xml:space="preserve">IRC § 1245 / § 1250 — depreciation recapture</w:t>
      </w:r>
    </w:p>
    <w:p>
      <w:pPr>
        <w:pStyle w:val="ListParagraph"/>
        <w:numPr>
          <w:ilvl w:val="0"/>
          <w:numId w:val="2"/>
        </w:numPr>
        <w:spacing w:after="60" w:line="276"/>
      </w:pPr>
      <w:r>
        <w:rPr>
          <w:rFonts w:ascii="Calibri" w:cs="Calibri" w:eastAsia="Calibri" w:hAnsi="Calibri"/>
          <w:sz w:val="21"/>
          <w:szCs w:val="21"/>
        </w:rPr>
        <w:t xml:space="preserve">Treas. Reg. § 1.469-4 — grouping of activities</w:t>
      </w:r>
    </w:p>
    <w:p>
      <w:pPr>
        <w:spacing w:after="120"/>
      </w:pPr>
    </w:p>
    <w:p>
      <w:pPr>
        <w:spacing w:after="140" w:line="276"/>
      </w:pPr>
      <w:r>
        <w:rPr>
          <w:rFonts w:ascii="Calibri" w:cs="Calibri" w:eastAsia="Calibri" w:hAnsi="Calibri"/>
          <w:sz w:val="21"/>
          <w:szCs w:val="21"/>
        </w:rPr>
        <w:t xml:space="preserve">A business that pays significant rent to a third-party landlord for the space it operates from is often a candidate to instead buy that real estate — through a separate entity — and capture depreciation and equity that a rent payment simply gives away. This is one of the more complex strategies in this guide because it involves entity choice, the passive-activity rules, and cost segregation working together.</w:t>
      </w:r>
    </w:p>
    <w:p>
      <w:pPr>
        <w:pStyle w:val="Heading2"/>
        <w:spacing w:after="80" w:before="200"/>
      </w:pPr>
      <w:r>
        <w:rPr>
          <w:rFonts w:ascii="Calibri" w:cs="Calibri" w:eastAsia="Calibri" w:hAnsi="Calibri"/>
          <w:b/>
          <w:bCs/>
          <w:color w:val="2E5496"/>
          <w:sz w:val="24"/>
          <w:szCs w:val="24"/>
        </w:rPr>
        <w:t xml:space="preserve">Why Real Estate Belongs Outside the Operating Entity</w:t>
      </w:r>
    </w:p>
    <w:p>
      <w:pPr>
        <w:spacing w:after="140" w:line="276"/>
      </w:pPr>
      <w:r>
        <w:rPr>
          <w:rFonts w:ascii="Calibri" w:cs="Calibri" w:eastAsia="Calibri" w:hAnsi="Calibri"/>
          <w:sz w:val="21"/>
          <w:szCs w:val="21"/>
        </w:rPr>
        <w:t xml:space="preserve">Real estate should generally never be held inside an S corporation. Distributing appreciated real property out of an S corporation later triggers gain recognition at the corporate level as if the property were sold at fair market value, and once inside an S corp, real estate is far harder to refinance, gift, or transfer to heirs efficiently. The standard structure is a separate single- or multi-member LLC that owns the property and leases it to the operating business at a market rent.</w:t>
      </w:r>
    </w:p>
    <w:p>
      <w:pPr>
        <w:pStyle w:val="Heading2"/>
        <w:spacing w:after="80" w:before="200"/>
      </w:pPr>
      <w:r>
        <w:rPr>
          <w:rFonts w:ascii="Calibri" w:cs="Calibri" w:eastAsia="Calibri" w:hAnsi="Calibri"/>
          <w:b/>
          <w:bCs/>
          <w:color w:val="2E5496"/>
          <w:sz w:val="24"/>
          <w:szCs w:val="24"/>
        </w:rPr>
        <w:t xml:space="preserve">§ 469 Grouping to Unlock Losses</w:t>
      </w:r>
    </w:p>
    <w:p>
      <w:pPr>
        <w:spacing w:after="140" w:line="276"/>
      </w:pPr>
      <w:r>
        <w:rPr>
          <w:rFonts w:ascii="Calibri" w:cs="Calibri" w:eastAsia="Calibri" w:hAnsi="Calibri"/>
          <w:sz w:val="21"/>
          <w:szCs w:val="21"/>
        </w:rPr>
        <w:t xml:space="preserve">Rental real estate is passive by default, which means rental losses (including large first-year cost-segregation losses) are normally trapped against other passive income only. However, if the same owners materially participate in the operating business and the rental is insubstantial in relation to it (or vice versa), § 469 permits an election to group the rental LLC and the operating business into a single economic unit. Once grouped, the owner’s material participation in the operating business can support treating the rental as non-passive, allowing rental losses — including a large cost-segregation loss in the acquisition year — to offset the owner’s other active income.</w:t>
      </w:r>
    </w:p>
    <w:p>
      <w:pPr>
        <w:pStyle w:val="ListParagraph"/>
        <w:numPr>
          <w:ilvl w:val="0"/>
          <w:numId w:val="2"/>
        </w:numPr>
        <w:spacing w:after="60" w:line="276"/>
      </w:pPr>
      <w:r>
        <w:rPr>
          <w:rFonts w:ascii="Calibri" w:cs="Calibri" w:eastAsia="Calibri" w:hAnsi="Calibri"/>
          <w:sz w:val="21"/>
          <w:szCs w:val="21"/>
        </w:rPr>
        <w:t xml:space="preserve">A grouping election must generally be consistent from year to year and disclosed appropriately; it is not something to revisit annually based on which year is more favorable.</w:t>
      </w:r>
    </w:p>
    <w:p>
      <w:pPr>
        <w:pStyle w:val="ListParagraph"/>
        <w:numPr>
          <w:ilvl w:val="0"/>
          <w:numId w:val="2"/>
        </w:numPr>
        <w:spacing w:after="60" w:line="276"/>
      </w:pPr>
      <w:r>
        <w:rPr>
          <w:rFonts w:ascii="Calibri" w:cs="Calibri" w:eastAsia="Calibri" w:hAnsi="Calibri"/>
          <w:sz w:val="21"/>
          <w:szCs w:val="21"/>
        </w:rPr>
        <w:t xml:space="preserve">Grouping is only appropriate where the ownership and participation facts genuinely support treating the two activities as one economic unit — it is not a form-over-substance election.</w:t>
      </w:r>
    </w:p>
    <w:p>
      <w:pPr>
        <w:pStyle w:val="Heading2"/>
        <w:spacing w:after="80" w:before="200"/>
      </w:pPr>
      <w:r>
        <w:rPr>
          <w:rFonts w:ascii="Calibri" w:cs="Calibri" w:eastAsia="Calibri" w:hAnsi="Calibri"/>
          <w:b/>
          <w:bCs/>
          <w:color w:val="2E5496"/>
          <w:sz w:val="24"/>
          <w:szCs w:val="24"/>
        </w:rPr>
        <w:t xml:space="preserve">Cost Segregation</w:t>
      </w:r>
    </w:p>
    <w:p>
      <w:pPr>
        <w:spacing w:after="140" w:line="276"/>
      </w:pPr>
      <w:r>
        <w:rPr>
          <w:rFonts w:ascii="Calibri" w:cs="Calibri" w:eastAsia="Calibri" w:hAnsi="Calibri"/>
          <w:sz w:val="21"/>
          <w:szCs w:val="21"/>
        </w:rPr>
        <w:t xml:space="preserve">A cost segregation study breaks a real property purchase into its components — land, building shell, and shorter-lived personal property/land improvements (electrical, certain fixtures, paving, landscaping) — so that the shorter-lived components can be depreciated over 5, 7, or 15 years instead of the building’s 39-year (commercial) or 27.5-year (residential) life, and made eligible for bonus depreciation. On a mid-six-figure purchase, this routinely converts a modest first-year depreciation deduction into a much larger one.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paying roughly $170,000/year in rent evaluates buying its ~$500,000 warehouse through a separate LLC, grouped with the operating company under § 469. A cost segregation study projects roughly $200,000 of first-year deductions from reclassified components, for an estimated $50,000–$90,000 in tax savings in the acquisition year alone — on top of building equity instead of paying rent indefinitely.</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Recapture is the trade-off: accelerated depreciation taken today is generally recaptured as ordinary income (§ 1245) or at a 25% rate (§ 1250 unrecaptured gain) on a future sale. Cost segregation is a deferral strategy, not a permanent exclusion, and should be modeled with an eventual-sale scenario in mind.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4: Fixed-Asset Capitalization &amp; Depreciation Recapture</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263(a) — capitalization of amounts paid to acquire or improve tangible property</w:t>
      </w:r>
    </w:p>
    <w:p>
      <w:pPr>
        <w:pStyle w:val="ListParagraph"/>
        <w:numPr>
          <w:ilvl w:val="0"/>
          <w:numId w:val="2"/>
        </w:numPr>
        <w:spacing w:after="60" w:line="276"/>
      </w:pPr>
      <w:r>
        <w:rPr>
          <w:rFonts w:ascii="Calibri" w:cs="Calibri" w:eastAsia="Calibri" w:hAnsi="Calibri"/>
          <w:sz w:val="21"/>
          <w:szCs w:val="21"/>
        </w:rPr>
        <w:t xml:space="preserve">Treas. Reg. § 1.263(a)-1 through -3 — tangible property (repair) regulations</w:t>
      </w:r>
    </w:p>
    <w:p>
      <w:pPr>
        <w:pStyle w:val="ListParagraph"/>
        <w:numPr>
          <w:ilvl w:val="0"/>
          <w:numId w:val="2"/>
        </w:numPr>
        <w:spacing w:after="60" w:line="276"/>
      </w:pPr>
      <w:r>
        <w:rPr>
          <w:rFonts w:ascii="Calibri" w:cs="Calibri" w:eastAsia="Calibri" w:hAnsi="Calibri"/>
          <w:sz w:val="21"/>
          <w:szCs w:val="21"/>
        </w:rPr>
        <w:t xml:space="preserve">Form 3115, Application for Change in Accounting Method</w:t>
      </w:r>
    </w:p>
    <w:p>
      <w:pPr>
        <w:spacing w:after="120"/>
      </w:pPr>
    </w:p>
    <w:p>
      <w:pPr>
        <w:spacing w:after="140" w:line="276"/>
      </w:pPr>
      <w:r>
        <w:rPr>
          <w:rFonts w:ascii="Calibri" w:cs="Calibri" w:eastAsia="Calibri" w:hAnsi="Calibri"/>
          <w:sz w:val="21"/>
          <w:szCs w:val="21"/>
        </w:rPr>
        <w:t xml:space="preserve">A surprisingly common bookkeeping error is expensing items that should have been capitalized — typically equipment, furniture, or fixtures booked to a "supplies" or "materials" account instead of being added to a depreciation schedule. Because bonus depreciation and § 179 often make the current-year tax effect of this error net-neutral, it can go unnoticed for years, but it leaves a business with an inaccurate balance sheet and a future problem.</w:t>
      </w:r>
    </w:p>
    <w:p>
      <w:pPr>
        <w:pStyle w:val="Heading2"/>
        <w:spacing w:after="80" w:before="200"/>
      </w:pPr>
      <w:r>
        <w:rPr>
          <w:rFonts w:ascii="Calibri" w:cs="Calibri" w:eastAsia="Calibri" w:hAnsi="Calibri"/>
          <w:b/>
          <w:bCs/>
          <w:color w:val="2E5496"/>
          <w:sz w:val="24"/>
          <w:szCs w:val="24"/>
        </w:rPr>
        <w:t xml:space="preserve">Why This Matters Even When the Current-Year Deduction Is the Same</w:t>
      </w:r>
    </w:p>
    <w:p>
      <w:pPr>
        <w:spacing w:after="140" w:line="276"/>
      </w:pPr>
      <w:r>
        <w:rPr>
          <w:rFonts w:ascii="Calibri" w:cs="Calibri" w:eastAsia="Calibri" w:hAnsi="Calibri"/>
          <w:sz w:val="21"/>
          <w:szCs w:val="21"/>
        </w:rPr>
        <w:t xml:space="preserve">If an asset expensed as a "supply" would have been 100% bonus-depreciated anyway, the current-year tax bill may be identical either way — but the asset is left with no basis and no accumulated-depreciation ledger. If that asset is later sold (or the business itself is sold and buyers price assets separately), there is no accurate schedule to determine gain, loss, or § 1245 recapture on disposition, and the balance sheet permanently understates the business’s asset base, which can also distort a buy-vs-rent or valuation analysis.</w:t>
      </w:r>
    </w:p>
    <w:p>
      <w:pPr>
        <w:pStyle w:val="Heading2"/>
        <w:spacing w:after="80" w:before="200"/>
      </w:pPr>
      <w:r>
        <w:rPr>
          <w:rFonts w:ascii="Calibri" w:cs="Calibri" w:eastAsia="Calibri" w:hAnsi="Calibri"/>
          <w:b/>
          <w:bCs/>
          <w:color w:val="2E5496"/>
          <w:sz w:val="24"/>
          <w:szCs w:val="24"/>
        </w:rPr>
        <w:t xml:space="preserve">Correcting the Error: Form 3115</w:t>
      </w:r>
    </w:p>
    <w:p>
      <w:pPr>
        <w:spacing w:after="140" w:line="276"/>
      </w:pPr>
      <w:r>
        <w:rPr>
          <w:rFonts w:ascii="Calibri" w:cs="Calibri" w:eastAsia="Calibri" w:hAnsi="Calibri"/>
          <w:sz w:val="21"/>
          <w:szCs w:val="21"/>
        </w:rPr>
        <w:t xml:space="preserve">A pattern of misclassifying capital assets as expenses across multiple years is a method-of-accounting issue, not a simple prior-year correction, and is fixed with Form 3115 (Application for Change in Accounting Method), which allows a "catch-up" § 481(a) adjustment — often net to zero in effect if the assets were already fully expensed via bonus/§179 — without needing to amend multiple back-year returns.</w:t>
      </w:r>
    </w:p>
    <w:p>
      <w:pPr>
        <w:pStyle w:val="ListParagraph"/>
        <w:numPr>
          <w:ilvl w:val="0"/>
          <w:numId w:val="2"/>
        </w:numPr>
        <w:spacing w:after="60" w:line="276"/>
      </w:pPr>
      <w:r>
        <w:rPr>
          <w:rFonts w:ascii="Calibri" w:cs="Calibri" w:eastAsia="Calibri" w:hAnsi="Calibri"/>
          <w:sz w:val="21"/>
          <w:szCs w:val="21"/>
        </w:rPr>
        <w:t xml:space="preserve">Pair the Form 3115 filing with building a proper per-asset basis schedule going forward, so each future purchase is capitalized (or correctly expensed under the de minimis safe harbor) from the start.</w:t>
      </w:r>
    </w:p>
    <w:p>
      <w:pPr>
        <w:pStyle w:val="ListParagraph"/>
        <w:numPr>
          <w:ilvl w:val="0"/>
          <w:numId w:val="2"/>
        </w:numPr>
        <w:spacing w:after="60" w:line="276"/>
      </w:pPr>
      <w:r>
        <w:rPr>
          <w:rFonts w:ascii="Calibri" w:cs="Calibri" w:eastAsia="Calibri" w:hAnsi="Calibri"/>
          <w:sz w:val="21"/>
          <w:szCs w:val="21"/>
        </w:rPr>
        <w:t xml:space="preserve">Going forward, apply a written capitalization policy (e.g., a de minimis safe-harbor election) consistently so new equipment purchases are booked correctly the first time.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business has expensed staging furniture and equipment as "supplies" for several years, leaving its Inventory account at $0 despite owning a warehouse full of reusable furniture. The fix: file Form 3115 with the next year’s return to formally change the accounting method (a net-$0 catch-up adjustment since the items were already fully expensed for tax purposes), and build a per-asset basis schedule so future purchases are capitalized and depreciated correctly.</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Any newly purchased equipment should be capitalized and depreciated (via bonus depreciation or § 179) rather than expensed as a supply, even when the immediate tax result looks the same — the basis record is the point.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5: Home Office Deductions &amp; the Accountable Plan</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280A — disallowance of certain expenses in connection with business use of home</w:t>
      </w:r>
    </w:p>
    <w:p>
      <w:pPr>
        <w:pStyle w:val="ListParagraph"/>
        <w:numPr>
          <w:ilvl w:val="0"/>
          <w:numId w:val="2"/>
        </w:numPr>
        <w:spacing w:after="60" w:line="276"/>
      </w:pPr>
      <w:r>
        <w:rPr>
          <w:rFonts w:ascii="Calibri" w:cs="Calibri" w:eastAsia="Calibri" w:hAnsi="Calibri"/>
          <w:sz w:val="21"/>
          <w:szCs w:val="21"/>
        </w:rPr>
        <w:t xml:space="preserve">Rev. Proc. 2013-13 — simplified home-office method</w:t>
      </w:r>
    </w:p>
    <w:p>
      <w:pPr>
        <w:pStyle w:val="ListParagraph"/>
        <w:numPr>
          <w:ilvl w:val="0"/>
          <w:numId w:val="2"/>
        </w:numPr>
        <w:spacing w:after="60" w:line="276"/>
      </w:pPr>
      <w:r>
        <w:rPr>
          <w:rFonts w:ascii="Calibri" w:cs="Calibri" w:eastAsia="Calibri" w:hAnsi="Calibri"/>
          <w:sz w:val="21"/>
          <w:szCs w:val="21"/>
        </w:rPr>
        <w:t xml:space="preserve">Treas. Reg. § 1.62-2 — accountable plans</w:t>
      </w:r>
    </w:p>
    <w:p>
      <w:pPr>
        <w:spacing w:after="120"/>
      </w:pPr>
    </w:p>
    <w:p>
      <w:pPr>
        <w:spacing w:after="140" w:line="276"/>
      </w:pPr>
      <w:r>
        <w:rPr>
          <w:rFonts w:ascii="Calibri" w:cs="Calibri" w:eastAsia="Calibri" w:hAnsi="Calibri"/>
          <w:sz w:val="21"/>
          <w:szCs w:val="21"/>
        </w:rPr>
        <w:t xml:space="preserve">For an owner who operates through a corporation (S-corp or C-corp), the standard home-office deduction on Schedule C is not available — owner-employees instead need an accountable-plan reimbursement arrangement to get the same economic benefit without creating taxable wages.</w:t>
      </w:r>
    </w:p>
    <w:p>
      <w:pPr>
        <w:pStyle w:val="Heading2"/>
        <w:spacing w:after="80" w:before="200"/>
      </w:pPr>
      <w:r>
        <w:rPr>
          <w:rFonts w:ascii="Calibri" w:cs="Calibri" w:eastAsia="Calibri" w:hAnsi="Calibri"/>
          <w:b/>
          <w:bCs/>
          <w:color w:val="2E5496"/>
          <w:sz w:val="24"/>
          <w:szCs w:val="24"/>
        </w:rPr>
        <w:t xml:space="preserve">Why an S-Corp Owner Cannot Just Take a Home-Office Deduction</w:t>
      </w:r>
    </w:p>
    <w:p>
      <w:pPr>
        <w:spacing w:after="140" w:line="276"/>
      </w:pPr>
      <w:r>
        <w:rPr>
          <w:rFonts w:ascii="Calibri" w:cs="Calibri" w:eastAsia="Calibri" w:hAnsi="Calibri"/>
          <w:sz w:val="21"/>
          <w:szCs w:val="21"/>
        </w:rPr>
        <w:t xml:space="preserve">A home-office deduction under § 280A is designed for a sole proprietor or partner deducting expenses directly against self-employment income. An S-corp owner-employee’s income is W-2 wages plus K-1 passthrough, neither of which flows through a home-office deduction the same way. Simply deducting home expenses personally is not permitted; the correct mechanism is for the corporation to reimburse the employee under a written accountable plan.</w:t>
      </w:r>
    </w:p>
    <w:p>
      <w:pPr>
        <w:pStyle w:val="Heading2"/>
        <w:spacing w:after="80" w:before="200"/>
      </w:pPr>
      <w:r>
        <w:rPr>
          <w:rFonts w:ascii="Calibri" w:cs="Calibri" w:eastAsia="Calibri" w:hAnsi="Calibri"/>
          <w:b/>
          <w:bCs/>
          <w:color w:val="2E5496"/>
          <w:sz w:val="24"/>
          <w:szCs w:val="24"/>
        </w:rPr>
        <w:t xml:space="preserve">Setting Up the Accountable Plan</w:t>
      </w:r>
    </w:p>
    <w:p>
      <w:pPr>
        <w:spacing w:after="140" w:line="276"/>
      </w:pPr>
      <w:r>
        <w:rPr>
          <w:rFonts w:ascii="Calibri" w:cs="Calibri" w:eastAsia="Calibri" w:hAnsi="Calibri"/>
          <w:sz w:val="21"/>
          <w:szCs w:val="21"/>
        </w:rPr>
        <w:t xml:space="preserve">Under Treas. Reg. § 1.62-2, a corporation can adopt a written accountable-plan policy under which it reimburses the owner-employee for the business-use percentage of home expenses — mortgage interest (or rent), property tax, HOA dues, utilities, and internet/Wi-Fi — tied to a dedicated home-office space used regularly and exclusively for business. Properly structured, the reimbursement is deductible to the corporation and is not taxable income to the employee (unlike simply paying the employee more wages to cover the same costs).</w:t>
      </w:r>
    </w:p>
    <w:p>
      <w:pPr>
        <w:pStyle w:val="ListParagraph"/>
        <w:numPr>
          <w:ilvl w:val="0"/>
          <w:numId w:val="2"/>
        </w:numPr>
        <w:spacing w:after="60" w:line="276"/>
      </w:pPr>
      <w:r>
        <w:rPr>
          <w:rFonts w:ascii="Calibri" w:cs="Calibri" w:eastAsia="Calibri" w:hAnsi="Calibri"/>
          <w:sz w:val="21"/>
          <w:szCs w:val="21"/>
        </w:rPr>
        <w:t xml:space="preserve">The employee must have a dedicated room or clearly defined space used regularly and exclusively for business — a kitchen table is not sufficient.</w:t>
      </w:r>
    </w:p>
    <w:p>
      <w:pPr>
        <w:pStyle w:val="ListParagraph"/>
        <w:numPr>
          <w:ilvl w:val="0"/>
          <w:numId w:val="2"/>
        </w:numPr>
        <w:spacing w:after="60" w:line="276"/>
      </w:pPr>
      <w:r>
        <w:rPr>
          <w:rFonts w:ascii="Calibri" w:cs="Calibri" w:eastAsia="Calibri" w:hAnsi="Calibri"/>
          <w:sz w:val="21"/>
          <w:szCs w:val="21"/>
        </w:rPr>
        <w:t xml:space="preserve">A qualifying home office also establishes the home as a "tax home" for mileage purposes, which can make otherwise-nondeductible commuting mileage into deductible business mileage for trips from the home office to other business locations.</w:t>
      </w:r>
    </w:p>
    <w:p>
      <w:pPr>
        <w:pStyle w:val="ListParagraph"/>
        <w:numPr>
          <w:ilvl w:val="0"/>
          <w:numId w:val="2"/>
        </w:numPr>
        <w:spacing w:after="60" w:line="276"/>
      </w:pPr>
      <w:r>
        <w:rPr>
          <w:rFonts w:ascii="Calibri" w:cs="Calibri" w:eastAsia="Calibri" w:hAnsi="Calibri"/>
          <w:sz w:val="21"/>
          <w:szCs w:val="21"/>
        </w:rPr>
        <w:t xml:space="preserve">The reimbursement requires substantiation (expense reports, receipts, and the underlying calculation) exactly like any other accountable-plan reimbursement — it is not a flat unsubstantiated allowance.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An accountable plan must be a written policy the corporation actually follows and substantiates — an ad hoc or undocumented reimbursement risks being treated as additional taxable wages on audit.</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6: The Augusta Rule (§ 280A(g))</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280A(g) — rental of a dwelling unit used as a residence for fewer than 15 days</w:t>
      </w:r>
    </w:p>
    <w:p>
      <w:pPr>
        <w:spacing w:after="120"/>
      </w:pPr>
    </w:p>
    <w:p>
      <w:pPr>
        <w:spacing w:after="140" w:line="276"/>
      </w:pPr>
      <w:r>
        <w:rPr>
          <w:rFonts w:ascii="Calibri" w:cs="Calibri" w:eastAsia="Calibri" w:hAnsi="Calibri"/>
          <w:sz w:val="21"/>
          <w:szCs w:val="21"/>
        </w:rPr>
        <w:t xml:space="preserve">IRC § 280A(g) contains a narrow but genuinely useful provision: if a residence is rented out for fewer than 15 days during the year, none of the rental income is taxable to the owner — regardless of the amount charged — while the payer (if a business) can still deduct the payment as an ordinary business expense.</w:t>
      </w:r>
    </w:p>
    <w:p>
      <w:pPr>
        <w:pStyle w:val="Heading2"/>
        <w:spacing w:after="80" w:before="200"/>
      </w:pPr>
      <w:r>
        <w:rPr>
          <w:rFonts w:ascii="Calibri" w:cs="Calibri" w:eastAsia="Calibri" w:hAnsi="Calibri"/>
          <w:b/>
          <w:bCs/>
          <w:color w:val="2E5496"/>
          <w:sz w:val="24"/>
          <w:szCs w:val="24"/>
        </w:rPr>
        <w:t xml:space="preserve">How the Strategy Works</w:t>
      </w:r>
    </w:p>
    <w:p>
      <w:pPr>
        <w:spacing w:after="140" w:line="276"/>
      </w:pPr>
      <w:r>
        <w:rPr>
          <w:rFonts w:ascii="Calibri" w:cs="Calibri" w:eastAsia="Calibri" w:hAnsi="Calibri"/>
          <w:sz w:val="21"/>
          <w:szCs w:val="21"/>
        </w:rPr>
        <w:t xml:space="preserve">A business owner rents their own personal residence to their own corporation for legitimate business purposes — board meetings, strategic planning sessions, employee events — for 14 days or fewer per year, at a fair-market rental rate for comparable event/meeting space in the area. The corporation deducts the rent paid as a business expense; the owner receives the payment completely tax-free, since § 280A(g) excludes rental income on a personal residence rented fewer than 15 days from gross income entirely (no Schedule E reporting, and no expenses need to be allocated against it).</w:t>
      </w:r>
    </w:p>
    <w:p>
      <w:pPr>
        <w:pStyle w:val="ListParagraph"/>
        <w:numPr>
          <w:ilvl w:val="0"/>
          <w:numId w:val="2"/>
        </w:numPr>
        <w:spacing w:after="60" w:line="276"/>
      </w:pPr>
      <w:r>
        <w:rPr>
          <w:rFonts w:ascii="Calibri" w:cs="Calibri" w:eastAsia="Calibri" w:hAnsi="Calibri"/>
          <w:sz w:val="21"/>
          <w:szCs w:val="21"/>
        </w:rPr>
        <w:t xml:space="preserve">The rental rate must be defensible as fair market value — comparable local venue or meeting-space rates are the usual benchmark, not an arbitrary round number.</w:t>
      </w:r>
    </w:p>
    <w:p>
      <w:pPr>
        <w:pStyle w:val="ListParagraph"/>
        <w:numPr>
          <w:ilvl w:val="0"/>
          <w:numId w:val="2"/>
        </w:numPr>
        <w:spacing w:after="60" w:line="276"/>
      </w:pPr>
      <w:r>
        <w:rPr>
          <w:rFonts w:ascii="Calibri" w:cs="Calibri" w:eastAsia="Calibri" w:hAnsi="Calibri"/>
          <w:sz w:val="21"/>
          <w:szCs w:val="21"/>
        </w:rPr>
        <w:t xml:space="preserve">The meetings must be real: documented business purpose, an agenda, and minutes showing what was discussed and decided.</w:t>
      </w:r>
    </w:p>
    <w:p>
      <w:pPr>
        <w:pStyle w:val="ListParagraph"/>
        <w:numPr>
          <w:ilvl w:val="0"/>
          <w:numId w:val="2"/>
        </w:numPr>
        <w:spacing w:after="60" w:line="276"/>
      </w:pPr>
      <w:r>
        <w:rPr>
          <w:rFonts w:ascii="Calibri" w:cs="Calibri" w:eastAsia="Calibri" w:hAnsi="Calibri"/>
          <w:sz w:val="21"/>
          <w:szCs w:val="21"/>
        </w:rPr>
        <w:t xml:space="preserve">A written lease agreement between the owner (personally) and the business should be executed and kept on file, along with an invoice or record of each rental date and payment.</w:t>
      </w:r>
    </w:p>
    <w:p>
      <w:pPr>
        <w:pStyle w:val="ListParagraph"/>
        <w:numPr>
          <w:ilvl w:val="0"/>
          <w:numId w:val="2"/>
        </w:numPr>
        <w:spacing w:after="60" w:line="276"/>
      </w:pPr>
      <w:r>
        <w:rPr>
          <w:rFonts w:ascii="Calibri" w:cs="Calibri" w:eastAsia="Calibri" w:hAnsi="Calibri"/>
          <w:sz w:val="21"/>
          <w:szCs w:val="21"/>
        </w:rPr>
        <w:t xml:space="preserve">This is capped by the 14-day rule — exceed 14 days of rental in the year and the exclusion is lost entirely for that year, not just for the excess days.</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S-corp owner holds four quarterly board/strategy meetings at their home each year, documented with an agenda and minutes, and charges the corporation $500/day — a rate benchmarked to comparable local meeting-space rentals. The corporation deducts $2,000 for the year; the owner receives the $2,000 completely tax-free.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dollar amounts involved are usually modest ($2,000–$5,000/year in typical use), but the strategy costs almost nothing to implement and carries little downside risk when properly documented — it is a reliable "base hit," not a mountain-mover.</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7: Entity Structure &amp; Pass-Through Optimization</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1361–1362 — S corporation election and eligibility</w:t>
      </w:r>
    </w:p>
    <w:p>
      <w:pPr>
        <w:pStyle w:val="ListParagraph"/>
        <w:numPr>
          <w:ilvl w:val="0"/>
          <w:numId w:val="2"/>
        </w:numPr>
        <w:spacing w:after="60" w:line="276"/>
      </w:pPr>
      <w:r>
        <w:rPr>
          <w:rFonts w:ascii="Calibri" w:cs="Calibri" w:eastAsia="Calibri" w:hAnsi="Calibri"/>
          <w:sz w:val="21"/>
          <w:szCs w:val="21"/>
        </w:rPr>
        <w:t xml:space="preserve">State pass-through entity tax (PTET) statutes (varies by state)</w:t>
      </w:r>
    </w:p>
    <w:p>
      <w:pPr>
        <w:pStyle w:val="ListParagraph"/>
        <w:numPr>
          <w:ilvl w:val="0"/>
          <w:numId w:val="2"/>
        </w:numPr>
        <w:spacing w:after="60" w:line="276"/>
      </w:pPr>
      <w:r>
        <w:rPr>
          <w:rFonts w:ascii="Calibri" w:cs="Calibri" w:eastAsia="Calibri" w:hAnsi="Calibri"/>
          <w:sz w:val="21"/>
          <w:szCs w:val="21"/>
        </w:rPr>
        <w:t xml:space="preserve">IRC § 1361(b)(3) — qualified subchapter S subsidiary (QSub)</w:t>
      </w:r>
    </w:p>
    <w:p>
      <w:pPr>
        <w:spacing w:after="120"/>
      </w:pPr>
    </w:p>
    <w:p>
      <w:pPr>
        <w:spacing w:after="140" w:line="276"/>
      </w:pPr>
      <w:r>
        <w:rPr>
          <w:rFonts w:ascii="Calibri" w:cs="Calibri" w:eastAsia="Calibri" w:hAnsi="Calibri"/>
          <w:sz w:val="21"/>
          <w:szCs w:val="21"/>
        </w:rPr>
        <w:t xml:space="preserve">Entity choice and the elections layered on top of it — S-corp status, a state pass-through entity tax election, and how a new or related business line is structured — shape nearly every other strategy in this guide. This unit covers the recurring structural decisions that come up as a profitable pass-through business grows.</w:t>
      </w:r>
    </w:p>
    <w:p>
      <w:pPr>
        <w:pStyle w:val="Heading2"/>
        <w:spacing w:after="80" w:before="200"/>
      </w:pPr>
      <w:r>
        <w:rPr>
          <w:rFonts w:ascii="Calibri" w:cs="Calibri" w:eastAsia="Calibri" w:hAnsi="Calibri"/>
          <w:b/>
          <w:bCs/>
          <w:color w:val="2E5496"/>
          <w:sz w:val="24"/>
          <w:szCs w:val="24"/>
        </w:rPr>
        <w:t xml:space="preserve">Confirming the S-Election Still Fits</w:t>
      </w:r>
    </w:p>
    <w:p>
      <w:pPr>
        <w:spacing w:after="140" w:line="276"/>
      </w:pPr>
      <w:r>
        <w:rPr>
          <w:rFonts w:ascii="Calibri" w:cs="Calibri" w:eastAsia="Calibri" w:hAnsi="Calibri"/>
          <w:sz w:val="21"/>
          <w:szCs w:val="21"/>
        </w:rPr>
        <w:t xml:space="preserve">For an actively managed service or trade business, the S corporation remains attractive because it is a pass-through (no entity-level federal income tax, avoiding double taxation) while also allowing the reasonable-comp split covered in Study Unit 1 to reduce self-employment/FICA tax exposure relative to a sole proprietorship or partnership. Some states impose an entity-level tax on S corporations (e.g., a flat percentage of net income) as the cost of that structure — which is usually still a favorable trade-off compared to the SE tax an unincorporated structure would generate on the same income.</w:t>
      </w:r>
    </w:p>
    <w:p>
      <w:pPr>
        <w:pStyle w:val="Heading2"/>
        <w:spacing w:after="80" w:before="200"/>
      </w:pPr>
      <w:r>
        <w:rPr>
          <w:rFonts w:ascii="Calibri" w:cs="Calibri" w:eastAsia="Calibri" w:hAnsi="Calibri"/>
          <w:b/>
          <w:bCs/>
          <w:color w:val="2E5496"/>
          <w:sz w:val="24"/>
          <w:szCs w:val="24"/>
        </w:rPr>
        <w:t xml:space="preserve">The Pass-Through Entity Tax (PTET) Election</w:t>
      </w:r>
    </w:p>
    <w:p>
      <w:pPr>
        <w:spacing w:after="140" w:line="276"/>
      </w:pPr>
      <w:r>
        <w:rPr>
          <w:rFonts w:ascii="Calibri" w:cs="Calibri" w:eastAsia="Calibri" w:hAnsi="Calibri"/>
          <w:sz w:val="21"/>
          <w:szCs w:val="21"/>
        </w:rPr>
        <w:t xml:space="preserve">Since the federal SALT (state and local tax) itemized deduction was capped at $10,000 for individuals, many states have enacted a PTET election, allowing a pass-through entity to elect to pay state income tax at the entity level. The entity then deducts that state tax in full as an ordinary business expense (not subject to the individual SALT cap), and the owner typically receives an offsetting state-level credit or exclusion on their personal return. The net effect is that state tax that would otherwise be capped at $10,000 of deductibility is instead fully deductible at the entity level.</w:t>
      </w:r>
    </w:p>
    <w:p>
      <w:pPr>
        <w:pStyle w:val="ListParagraph"/>
        <w:numPr>
          <w:ilvl w:val="0"/>
          <w:numId w:val="2"/>
        </w:numPr>
        <w:spacing w:after="60" w:line="276"/>
      </w:pPr>
      <w:r>
        <w:rPr>
          <w:rFonts w:ascii="Calibri" w:cs="Calibri" w:eastAsia="Calibri" w:hAnsi="Calibri"/>
          <w:sz w:val="21"/>
          <w:szCs w:val="21"/>
        </w:rPr>
        <w:t xml:space="preserve">PTET elections are made annually in most states and often have specific payment-timing deadlines — missing the election window can forfeit the benefit for the year.</w:t>
      </w:r>
    </w:p>
    <w:p>
      <w:pPr>
        <w:pStyle w:val="ListParagraph"/>
        <w:numPr>
          <w:ilvl w:val="0"/>
          <w:numId w:val="2"/>
        </w:numPr>
        <w:spacing w:after="60" w:line="276"/>
      </w:pPr>
      <w:r>
        <w:rPr>
          <w:rFonts w:ascii="Calibri" w:cs="Calibri" w:eastAsia="Calibri" w:hAnsi="Calibri"/>
          <w:sz w:val="21"/>
          <w:szCs w:val="21"/>
        </w:rPr>
        <w:t xml:space="preserve">The value of the PTET election grows as the owner’s income (and therefore state tax liability) grows, since the SALT cap workaround scales with the size of the state tax bill being converted to a full deduction.</w:t>
      </w:r>
    </w:p>
    <w:p>
      <w:pPr>
        <w:pStyle w:val="Heading2"/>
        <w:spacing w:after="80" w:before="200"/>
      </w:pPr>
      <w:r>
        <w:rPr>
          <w:rFonts w:ascii="Calibri" w:cs="Calibri" w:eastAsia="Calibri" w:hAnsi="Calibri"/>
          <w:b/>
          <w:bCs/>
          <w:color w:val="2E5496"/>
          <w:sz w:val="24"/>
          <w:szCs w:val="24"/>
        </w:rPr>
        <w:t xml:space="preserve">Structuring a New or Related Business Line</w:t>
      </w:r>
    </w:p>
    <w:p>
      <w:pPr>
        <w:spacing w:after="140" w:line="276"/>
      </w:pPr>
      <w:r>
        <w:rPr>
          <w:rFonts w:ascii="Calibri" w:cs="Calibri" w:eastAsia="Calibri" w:hAnsi="Calibri"/>
          <w:sz w:val="21"/>
          <w:szCs w:val="21"/>
        </w:rPr>
        <w:t xml:space="preserve">When a profitable S corporation wants to add a related but operationally or risk-distinct business line, forming a Qualified Subchapter S Subsidiary (QSub) — an LLC wholly owned by the existing S corporation that elects QSub treatment — is often preferable to forming an entirely new, separately elected S corporation. A QSub is disregarded for federal tax purposes (one consolidated return, one set of S-corp benefits) while still providing state-law liability isolation between the two business lines.</w:t>
      </w:r>
    </w:p>
    <w:p>
      <w:pPr>
        <w:pStyle w:val="ListParagraph"/>
        <w:numPr>
          <w:ilvl w:val="0"/>
          <w:numId w:val="2"/>
        </w:numPr>
        <w:spacing w:after="60" w:line="276"/>
      </w:pPr>
      <w:r>
        <w:rPr>
          <w:rFonts w:ascii="Calibri" w:cs="Calibri" w:eastAsia="Calibri" w:hAnsi="Calibri"/>
          <w:sz w:val="21"/>
          <w:szCs w:val="21"/>
        </w:rPr>
        <w:t xml:space="preserve">A QSub avoids the administrative overhead of a second S-election, second set of reasonable-comp analysis, and second tax return.</w:t>
      </w:r>
    </w:p>
    <w:p>
      <w:pPr>
        <w:pStyle w:val="ListParagraph"/>
        <w:numPr>
          <w:ilvl w:val="0"/>
          <w:numId w:val="2"/>
        </w:numPr>
        <w:spacing w:after="60" w:line="276"/>
      </w:pPr>
      <w:r>
        <w:rPr>
          <w:rFonts w:ascii="Calibri" w:cs="Calibri" w:eastAsia="Calibri" w:hAnsi="Calibri"/>
          <w:sz w:val="21"/>
          <w:szCs w:val="21"/>
        </w:rPr>
        <w:t xml:space="preserve">Liability isolation is a state-law/entity matter, not a tax matter — the QSub still needs its own operating agreement, contracts, and insurance appropriate to its activity.</w:t>
      </w:r>
    </w:p>
    <w:p>
      <w:pPr>
        <w:pStyle w:val="Heading2"/>
        <w:spacing w:after="80" w:before="200"/>
      </w:pPr>
      <w:r>
        <w:rPr>
          <w:rFonts w:ascii="Calibri" w:cs="Calibri" w:eastAsia="Calibri" w:hAnsi="Calibri"/>
          <w:b/>
          <w:bCs/>
          <w:color w:val="2E5496"/>
          <w:sz w:val="24"/>
          <w:szCs w:val="24"/>
        </w:rPr>
        <w:t xml:space="preserve">Real Estate Professional Status (Forward-Looking)</w:t>
      </w:r>
    </w:p>
    <w:p>
      <w:pPr>
        <w:spacing w:after="140" w:line="276"/>
      </w:pPr>
      <w:r>
        <w:rPr>
          <w:rFonts w:ascii="Calibri" w:cs="Calibri" w:eastAsia="Calibri" w:hAnsi="Calibri"/>
          <w:sz w:val="21"/>
          <w:szCs w:val="21"/>
        </w:rPr>
        <w:t xml:space="preserve">An owner who is also active in real estate (e.g., a licensed contractor or broker on the side) may eventually qualify for Real Estate Professional Status (REPS) under § 469(c)(7), which removes the passive-activity limitation on real estate losses entirely if the owner works more than 750 hours per year in real property trades and more than half of their total working hours are in real property trades. This is generally a status to track toward, not claim prematurely — hours should be contemporaneously logged well before the status is relied upon on a return.</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8: Investment Income, Idle Cash &amp; Capital Loss Planning</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1211–1212 — capital loss limitations and carryforwards</w:t>
      </w:r>
    </w:p>
    <w:p>
      <w:pPr>
        <w:pStyle w:val="ListParagraph"/>
        <w:numPr>
          <w:ilvl w:val="0"/>
          <w:numId w:val="2"/>
        </w:numPr>
        <w:spacing w:after="60" w:line="276"/>
      </w:pPr>
      <w:r>
        <w:rPr>
          <w:rFonts w:ascii="Calibri" w:cs="Calibri" w:eastAsia="Calibri" w:hAnsi="Calibri"/>
          <w:sz w:val="21"/>
          <w:szCs w:val="21"/>
        </w:rPr>
        <w:t xml:space="preserve">IRC § 1411 — Net Investment Income Tax (NIIT)</w:t>
      </w:r>
    </w:p>
    <w:p>
      <w:pPr>
        <w:pStyle w:val="ListParagraph"/>
        <w:numPr>
          <w:ilvl w:val="0"/>
          <w:numId w:val="2"/>
        </w:numPr>
        <w:spacing w:after="60" w:line="276"/>
      </w:pPr>
      <w:r>
        <w:rPr>
          <w:rFonts w:ascii="Calibri" w:cs="Calibri" w:eastAsia="Calibri" w:hAnsi="Calibri"/>
          <w:sz w:val="21"/>
          <w:szCs w:val="21"/>
        </w:rPr>
        <w:t xml:space="preserve">Form 8960, Net Investment Income Tax</w:t>
      </w:r>
    </w:p>
    <w:p>
      <w:pPr>
        <w:spacing w:after="120"/>
      </w:pPr>
    </w:p>
    <w:p>
      <w:pPr>
        <w:spacing w:after="140" w:line="276"/>
      </w:pPr>
      <w:r>
        <w:rPr>
          <w:rFonts w:ascii="Calibri" w:cs="Calibri" w:eastAsia="Calibri" w:hAnsi="Calibri"/>
          <w:sz w:val="21"/>
          <w:szCs w:val="21"/>
        </w:rPr>
        <w:t xml:space="preserve">Beyond the operating business, a growing business owner typically accumulates cash and investment accounts that need their own tax planning — idle cash earning low taxable interest, capital losses that can be banked as a future planning asset, and NIIT exposure once income crosses the applicable threshold.</w:t>
      </w:r>
    </w:p>
    <w:p>
      <w:pPr>
        <w:pStyle w:val="Heading2"/>
        <w:spacing w:after="80" w:before="200"/>
      </w:pPr>
      <w:r>
        <w:rPr>
          <w:rFonts w:ascii="Calibri" w:cs="Calibri" w:eastAsia="Calibri" w:hAnsi="Calibri"/>
          <w:b/>
          <w:bCs/>
          <w:color w:val="2E5496"/>
          <w:sz w:val="24"/>
          <w:szCs w:val="24"/>
        </w:rPr>
        <w:t xml:space="preserve">Redeploying Idle Cash</w:t>
      </w:r>
    </w:p>
    <w:p>
      <w:pPr>
        <w:spacing w:after="140" w:line="276"/>
      </w:pPr>
      <w:r>
        <w:rPr>
          <w:rFonts w:ascii="Calibri" w:cs="Calibri" w:eastAsia="Calibri" w:hAnsi="Calibri"/>
          <w:sz w:val="21"/>
          <w:szCs w:val="21"/>
        </w:rPr>
        <w:t xml:space="preserve">Cash sitting in a business or personal savings account earning a modest interest rate generates fully taxable ordinary income for comparatively little return. Once a business has confirmed adequate operating reserves, idle cash is often better redeployed toward a tax-advantaged use already in motion — funding a retirement plan contribution (Study Unit 2) or a real estate down payment (Study Unit 3) — rather than continuing to generate low-yield taxable interest with no offsetting deduction.</w:t>
      </w:r>
    </w:p>
    <w:p>
      <w:pPr>
        <w:pStyle w:val="Heading2"/>
        <w:spacing w:after="80" w:before="200"/>
      </w:pPr>
      <w:r>
        <w:rPr>
          <w:rFonts w:ascii="Calibri" w:cs="Calibri" w:eastAsia="Calibri" w:hAnsi="Calibri"/>
          <w:b/>
          <w:bCs/>
          <w:color w:val="2E5496"/>
          <w:sz w:val="24"/>
          <w:szCs w:val="24"/>
        </w:rPr>
        <w:t xml:space="preserve">Capital Loss Carryforwards as a Planning Asset</w:t>
      </w:r>
    </w:p>
    <w:p>
      <w:pPr>
        <w:spacing w:after="140" w:line="276"/>
      </w:pPr>
      <w:r>
        <w:rPr>
          <w:rFonts w:ascii="Calibri" w:cs="Calibri" w:eastAsia="Calibri" w:hAnsi="Calibri"/>
          <w:sz w:val="21"/>
          <w:szCs w:val="21"/>
        </w:rPr>
        <w:t xml:space="preserve">A capital loss in excess of the $3,000/year ordinary-income offset limit (for individuals) carries forward indefinitely and can offset future capital gains dollar-for-dollar. A large carryforward loss should be tracked deliberately as a planning asset — for example, to shelter the gain from an anticipated future sale of appreciated real estate or a business interest — rather than being forgotten as an old brokerage-statement footnote.</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An individual realizes a large long-term capital loss selling a poorly performing leveraged ETF position. After using $3,000 of the loss against ordinary income in the current year, a large remaining loss carries forward and is earmarked to offset the gain expected when the business later sells an appreciated warehouse purchased under the Study Unit 3 strategy.</w:t>
      </w:r>
    </w:p>
    <w:p>
      <w:pPr>
        <w:pStyle w:val="Heading2"/>
        <w:spacing w:after="80" w:before="200"/>
      </w:pPr>
      <w:r>
        <w:rPr>
          <w:rFonts w:ascii="Calibri" w:cs="Calibri" w:eastAsia="Calibri" w:hAnsi="Calibri"/>
          <w:b/>
          <w:bCs/>
          <w:color w:val="2E5496"/>
          <w:sz w:val="24"/>
          <w:szCs w:val="24"/>
        </w:rPr>
        <w:t xml:space="preserve">Net Investment Income Tax (NIIT)</w:t>
      </w:r>
    </w:p>
    <w:p>
      <w:pPr>
        <w:spacing w:after="140" w:line="276"/>
      </w:pPr>
      <w:r>
        <w:rPr>
          <w:rFonts w:ascii="Calibri" w:cs="Calibri" w:eastAsia="Calibri" w:hAnsi="Calibri"/>
          <w:sz w:val="21"/>
          <w:szCs w:val="21"/>
        </w:rPr>
        <w:t xml:space="preserve">Once modified AGI exceeds the applicable threshold ($250,000 MFJ / $200,000 single, not indexed for inflation), an additional 3.8% NIIT applies to the lesser of net investment income or the excess of MAGI over the threshold. As a pass-through owner’s income grows, previously immaterial portfolio income (interest, dividends, capital gains, and certain passive income) begins carrying a real additional tax cost, which should be factored into where new investment holdings are placed and how actively they are managed.</w:t>
      </w:r>
    </w:p>
    <w:p>
      <w:pPr>
        <w:pStyle w:val="ListParagraph"/>
        <w:numPr>
          <w:ilvl w:val="0"/>
          <w:numId w:val="2"/>
        </w:numPr>
        <w:spacing w:after="60" w:line="276"/>
      </w:pPr>
      <w:r>
        <w:rPr>
          <w:rFonts w:ascii="Calibri" w:cs="Calibri" w:eastAsia="Calibri" w:hAnsi="Calibri"/>
          <w:sz w:val="21"/>
          <w:szCs w:val="21"/>
        </w:rPr>
        <w:t xml:space="preserve">Investment income earned inside a business entity (e.g., a corporate brokerage account) passes through to the owner and needs the same NIIT and passive-income coordination as personally held investments.</w:t>
      </w:r>
    </w:p>
    <w:p>
      <w:pPr>
        <w:pStyle w:val="ListParagraph"/>
        <w:numPr>
          <w:ilvl w:val="0"/>
          <w:numId w:val="2"/>
        </w:numPr>
        <w:spacing w:after="60" w:line="276"/>
      </w:pPr>
      <w:r>
        <w:rPr>
          <w:rFonts w:ascii="Calibri" w:cs="Calibri" w:eastAsia="Calibri" w:hAnsi="Calibri"/>
          <w:sz w:val="21"/>
          <w:szCs w:val="21"/>
        </w:rPr>
        <w:t xml:space="preserve">Reduce NIIT exposure at the margin by favoring qualified dividends/long-term gains over ordinary interest where appropriate, and by materially participating in activities that would otherwise generate passive income.</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9: Employee Benefits — HSAs &amp; Self-Employed Health Insurance</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IRC § 223 — Health Savings Accounts</w:t>
      </w:r>
    </w:p>
    <w:p>
      <w:pPr>
        <w:pStyle w:val="ListParagraph"/>
        <w:numPr>
          <w:ilvl w:val="0"/>
          <w:numId w:val="2"/>
        </w:numPr>
        <w:spacing w:after="60" w:line="276"/>
      </w:pPr>
      <w:r>
        <w:rPr>
          <w:rFonts w:ascii="Calibri" w:cs="Calibri" w:eastAsia="Calibri" w:hAnsi="Calibri"/>
          <w:sz w:val="21"/>
          <w:szCs w:val="21"/>
        </w:rPr>
        <w:t xml:space="preserve">IRC § 1372 — fringe benefit rules for &gt;2% S-corp shareholders</w:t>
      </w:r>
    </w:p>
    <w:p>
      <w:pPr>
        <w:pStyle w:val="ListParagraph"/>
        <w:numPr>
          <w:ilvl w:val="0"/>
          <w:numId w:val="2"/>
        </w:numPr>
        <w:spacing w:after="60" w:line="276"/>
      </w:pPr>
      <w:r>
        <w:rPr>
          <w:rFonts w:ascii="Calibri" w:cs="Calibri" w:eastAsia="Calibri" w:hAnsi="Calibri"/>
          <w:sz w:val="21"/>
          <w:szCs w:val="21"/>
        </w:rPr>
        <w:t xml:space="preserve">IRS Notice 2008-1 — SEHI deduction for S-corp shareholder-employees</w:t>
      </w:r>
    </w:p>
    <w:p>
      <w:pPr>
        <w:spacing w:after="120"/>
      </w:pPr>
    </w:p>
    <w:p>
      <w:pPr>
        <w:spacing w:after="140" w:line="276"/>
      </w:pPr>
      <w:r>
        <w:rPr>
          <w:rFonts w:ascii="Calibri" w:cs="Calibri" w:eastAsia="Calibri" w:hAnsi="Calibri"/>
          <w:sz w:val="21"/>
          <w:szCs w:val="21"/>
        </w:rPr>
        <w:t xml:space="preserve">Benefit programs are usually straightforward to deduct for rank-and-file employees, but S-corp shareholder-employees who own more than 2% of the company are subject to special rules that, if missed, silently disallow the very deduction the benefit was meant to create.</w:t>
      </w:r>
    </w:p>
    <w:p>
      <w:pPr>
        <w:pStyle w:val="Heading2"/>
        <w:spacing w:after="80" w:before="200"/>
      </w:pPr>
      <w:r>
        <w:rPr>
          <w:rFonts w:ascii="Calibri" w:cs="Calibri" w:eastAsia="Calibri" w:hAnsi="Calibri"/>
          <w:b/>
          <w:bCs/>
          <w:color w:val="2E5496"/>
          <w:sz w:val="24"/>
          <w:szCs w:val="24"/>
        </w:rPr>
        <w:t xml:space="preserve">Health Savings Accounts (HSAs)</w:t>
      </w:r>
    </w:p>
    <w:p>
      <w:pPr>
        <w:spacing w:after="140" w:line="276"/>
      </w:pPr>
      <w:r>
        <w:rPr>
          <w:rFonts w:ascii="Calibri" w:cs="Calibri" w:eastAsia="Calibri" w:hAnsi="Calibri"/>
          <w:sz w:val="21"/>
          <w:szCs w:val="21"/>
        </w:rPr>
        <w:t xml:space="preserve">Employer contributions to employee HSAs are deductible to the business and excluded from the employee’s income, provided the employee is enrolled in a qualifying High-Deductible Health Plan (HDHP). This is a low-cost, high-goodwill benefit to add for staff. For a &gt;2% S-corp shareholder-employee, however, the shareholder’s own HSA contribution made by the corporation must be included in the shareholder’s W-2 Box 1 wages (though it remains exempt from FICA/FUTA) — the shareholder then deducts their own contribution on their personal return as an adjustment to income, rather than excluding it as a tax-free fringe benefit the way a non-owner employee would.</w:t>
      </w:r>
    </w:p>
    <w:p>
      <w:pPr>
        <w:pStyle w:val="ListParagraph"/>
        <w:numPr>
          <w:ilvl w:val="0"/>
          <w:numId w:val="2"/>
        </w:numPr>
        <w:spacing w:after="60" w:line="276"/>
      </w:pPr>
      <w:r>
        <w:rPr>
          <w:rFonts w:ascii="Calibri" w:cs="Calibri" w:eastAsia="Calibri" w:hAnsi="Calibri"/>
          <w:sz w:val="21"/>
          <w:szCs w:val="21"/>
        </w:rPr>
        <w:t xml:space="preserve">Before implementing, confirm the underlying health plan actually qualifies as an HDHP under the current-year IRS HDHP thresholds — "high deductible" in casual conversation is not the same as the statutory definition.</w:t>
      </w:r>
    </w:p>
    <w:p>
      <w:pPr>
        <w:pStyle w:val="ListParagraph"/>
        <w:numPr>
          <w:ilvl w:val="0"/>
          <w:numId w:val="2"/>
        </w:numPr>
        <w:spacing w:after="60" w:line="276"/>
      </w:pPr>
      <w:r>
        <w:rPr>
          <w:rFonts w:ascii="Calibri" w:cs="Calibri" w:eastAsia="Calibri" w:hAnsi="Calibri"/>
          <w:sz w:val="21"/>
          <w:szCs w:val="21"/>
        </w:rPr>
        <w:t xml:space="preserve">Track &gt;2% shareholder HSA contributions separately from non-owner employee contributions so payroll reports them correctly.</w:t>
      </w:r>
    </w:p>
    <w:p>
      <w:pPr>
        <w:pStyle w:val="Heading2"/>
        <w:spacing w:after="80" w:before="200"/>
      </w:pPr>
      <w:r>
        <w:rPr>
          <w:rFonts w:ascii="Calibri" w:cs="Calibri" w:eastAsia="Calibri" w:hAnsi="Calibri"/>
          <w:b/>
          <w:bCs/>
          <w:color w:val="2E5496"/>
          <w:sz w:val="24"/>
          <w:szCs w:val="24"/>
        </w:rPr>
        <w:t xml:space="preserve">Self-Employed Health Insurance (SEHI) Deduction for S-Corp Shareholders</w:t>
      </w:r>
    </w:p>
    <w:p>
      <w:pPr>
        <w:spacing w:after="140" w:line="276"/>
      </w:pPr>
      <w:r>
        <w:rPr>
          <w:rFonts w:ascii="Calibri" w:cs="Calibri" w:eastAsia="Calibri" w:hAnsi="Calibri"/>
          <w:sz w:val="21"/>
          <w:szCs w:val="21"/>
        </w:rPr>
        <w:t xml:space="preserve">A &gt;2% S-corp shareholder-employee cannot simply have the corporation pay health insurance premiums and treat them as a tax-free fringe benefit the way a non-owner employee could. Instead, the premiums must be included in the shareholder-employee’s W-2 Box 1 wages (again, exempt from FICA), and the shareholder then claims the self-employed health insurance deduction on their personal return (an above-the-line adjustment to income) to effectively make the premium cost tax-neutral.</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If a &gt;2% shareholder’s health-insurance premiums are paid by the corporation but never added back into Box 1 wages, the SEHI deduction on the personal return is disallowed entirely — this is a common, easily-missed year-end payroll adjustment that should be checked before W-2s are finalized, not after the return is filed.</w:t>
      </w:r>
    </w:p>
    <w:p>
      <w:r>
        <w:br w:type="page"/>
      </w:r>
    </w:p>
    <w:p>
      <w:pPr>
        <w:pStyle w:val="Heading1"/>
        <w:pBdr>
          <w:bottom w:val="single" w:color="2E5496" w:sz="8" w:space="6"/>
        </w:pBdr>
        <w:spacing w:after="160" w:before="240"/>
      </w:pPr>
      <w:r>
        <w:rPr>
          <w:rFonts w:ascii="Calibri" w:cs="Calibri" w:eastAsia="Calibri" w:hAnsi="Calibri"/>
          <w:b/>
          <w:bCs/>
          <w:color w:val="1F3864"/>
          <w:sz w:val="30"/>
          <w:szCs w:val="30"/>
        </w:rPr>
        <w:t xml:space="preserve">Study Unit 10: Tax Planning Process &amp; Risk Management</w:t>
      </w:r>
    </w:p>
    <w:p>
      <w:pPr>
        <w:spacing w:after="80"/>
      </w:pPr>
      <w:r>
        <w:rPr>
          <w:rFonts w:ascii="Calibri" w:cs="Calibri" w:eastAsia="Calibri" w:hAnsi="Calibri"/>
          <w:b/>
          <w:bCs/>
          <w:sz w:val="21"/>
          <w:szCs w:val="21"/>
        </w:rPr>
        <w:t xml:space="preserve">More Reading:</w:t>
      </w:r>
    </w:p>
    <w:p>
      <w:pPr>
        <w:pStyle w:val="ListParagraph"/>
        <w:numPr>
          <w:ilvl w:val="0"/>
          <w:numId w:val="2"/>
        </w:numPr>
        <w:spacing w:after="60" w:line="276"/>
      </w:pPr>
      <w:r>
        <w:rPr>
          <w:rFonts w:ascii="Calibri" w:cs="Calibri" w:eastAsia="Calibri" w:hAnsi="Calibri"/>
          <w:sz w:val="21"/>
          <w:szCs w:val="21"/>
        </w:rPr>
        <w:t xml:space="preserve">IRS Publication 4557 — Safeguarding Taxpayer Data</w:t>
      </w:r>
    </w:p>
    <w:p>
      <w:pPr>
        <w:pStyle w:val="ListParagraph"/>
        <w:numPr>
          <w:ilvl w:val="0"/>
          <w:numId w:val="2"/>
        </w:numPr>
        <w:spacing w:after="60" w:line="276"/>
      </w:pPr>
      <w:r>
        <w:rPr>
          <w:rFonts w:ascii="Calibri" w:cs="Calibri" w:eastAsia="Calibri" w:hAnsi="Calibri"/>
          <w:sz w:val="21"/>
          <w:szCs w:val="21"/>
        </w:rPr>
        <w:t xml:space="preserve">Form 8821, Tax Information Authorization</w:t>
      </w:r>
    </w:p>
    <w:p>
      <w:pPr>
        <w:pStyle w:val="ListParagraph"/>
        <w:numPr>
          <w:ilvl w:val="0"/>
          <w:numId w:val="2"/>
        </w:numPr>
        <w:spacing w:after="60" w:line="276"/>
      </w:pPr>
      <w:r>
        <w:rPr>
          <w:rFonts w:ascii="Calibri" w:cs="Calibri" w:eastAsia="Calibri" w:hAnsi="Calibri"/>
          <w:sz w:val="21"/>
          <w:szCs w:val="21"/>
        </w:rPr>
        <w:t xml:space="preserve">Form 2848, Power of Attorney and Declaration of Representative</w:t>
      </w:r>
    </w:p>
    <w:p>
      <w:pPr>
        <w:spacing w:after="120"/>
      </w:pPr>
    </w:p>
    <w:p>
      <w:pPr>
        <w:spacing w:after="140" w:line="276"/>
      </w:pPr>
      <w:r>
        <w:rPr>
          <w:rFonts w:ascii="Calibri" w:cs="Calibri" w:eastAsia="Calibri" w:hAnsi="Calibri"/>
          <w:sz w:val="21"/>
          <w:szCs w:val="21"/>
        </w:rPr>
        <w:t xml:space="preserve">The strategies in Units 1–9 only work if they are built on accurate, verified data. This closing unit covers the process discipline that separates a defensible tax plan from an aspirational one: verifying figures against IRS records, keeping the books clean of personal items, and tracking a plan through the year rather than only at filing time.</w:t>
      </w:r>
    </w:p>
    <w:p>
      <w:pPr>
        <w:pStyle w:val="Heading2"/>
        <w:spacing w:after="80" w:before="200"/>
      </w:pPr>
      <w:r>
        <w:rPr>
          <w:rFonts w:ascii="Calibri" w:cs="Calibri" w:eastAsia="Calibri" w:hAnsi="Calibri"/>
          <w:b/>
          <w:bCs/>
          <w:color w:val="2E5496"/>
          <w:sz w:val="24"/>
          <w:szCs w:val="24"/>
        </w:rPr>
        <w:t xml:space="preserve">Verify Against IRS Transcripts, Not Just Client Records</w:t>
      </w:r>
    </w:p>
    <w:p>
      <w:pPr>
        <w:spacing w:after="140" w:line="276"/>
      </w:pPr>
      <w:r>
        <w:rPr>
          <w:rFonts w:ascii="Calibri" w:cs="Calibri" w:eastAsia="Calibri" w:hAnsi="Calibri"/>
          <w:sz w:val="21"/>
          <w:szCs w:val="21"/>
        </w:rPr>
        <w:t xml:space="preserve">Client-provided returns, books, and statements can differ from what the IRS actually has on file — unapplied payments, mismatched information-return amounts, or prior-year adjustments the client never mentioned. Before finalizing any plan (and certainly before e-filing a return with unexplained income items), pull IRS Account Transcripts and Wage &amp; Income Transcripts and reconcile every figure to them. A plan built only on client-supplied numbers carries hidden risk that a ten-minute transcript pull would have caught.</w:t>
      </w:r>
    </w:p>
    <w:p>
      <w:pPr>
        <w:spacing w:after="140" w:line="276"/>
        <w:ind w:left="720"/>
      </w:pPr>
      <w:r>
        <w:rPr>
          <w:rFonts w:ascii="Calibri" w:cs="Calibri" w:eastAsia="Calibri" w:hAnsi="Calibri"/>
          <w:b/>
          <w:bCs/>
          <w:i/>
          <w:iCs/>
          <w:sz w:val="21"/>
          <w:szCs w:val="21"/>
        </w:rPr>
        <w:t xml:space="preserve">Example: </w:t>
      </w:r>
      <w:r>
        <w:rPr>
          <w:rFonts w:ascii="Calibri" w:cs="Calibri" w:eastAsia="Calibri" w:hAnsi="Calibri"/>
          <w:i/>
          <w:iCs/>
          <w:sz w:val="21"/>
          <w:szCs w:val="21"/>
        </w:rPr>
        <w:t xml:space="preserve">A draft return shows "other income," interest, and dividend amounts with no identifiable source in the client’s brokerage statements. Rather than filing as drafted, the preparer holds the return, reconciles the unexplained items to a Wage &amp; Income transcript, and confirms the true source before the client signs Form 8879 to e-file.</w:t>
      </w:r>
    </w:p>
    <w:p>
      <w:pPr>
        <w:pStyle w:val="Heading2"/>
        <w:spacing w:after="80" w:before="200"/>
      </w:pPr>
      <w:r>
        <w:rPr>
          <w:rFonts w:ascii="Calibri" w:cs="Calibri" w:eastAsia="Calibri" w:hAnsi="Calibri"/>
          <w:b/>
          <w:bCs/>
          <w:color w:val="2E5496"/>
          <w:sz w:val="24"/>
          <w:szCs w:val="24"/>
        </w:rPr>
        <w:t xml:space="preserve">Keep Personal Items Off the Business Books</w:t>
      </w:r>
    </w:p>
    <w:p>
      <w:pPr>
        <w:spacing w:after="140" w:line="276"/>
      </w:pPr>
      <w:r>
        <w:rPr>
          <w:rFonts w:ascii="Calibri" w:cs="Calibri" w:eastAsia="Calibri" w:hAnsi="Calibri"/>
          <w:sz w:val="21"/>
          <w:szCs w:val="21"/>
        </w:rPr>
        <w:t xml:space="preserve">Personal credit-card activity or other personal expenses left on the business balance sheet overstate business deductions and create a straightforward audit-risk item with no tax benefit to justify it. Bookkeeping hygiene — reconciling and removing personal items, and maintaining a clean basis/depreciation ledger (Study Unit 4) — is not glamorous, but it is a prerequisite for the more sophisticated strategies elsewhere in this guide to survive scrutiny.</w:t>
      </w:r>
    </w:p>
    <w:p>
      <w:pPr>
        <w:pStyle w:val="Heading2"/>
        <w:spacing w:after="80" w:before="200"/>
      </w:pPr>
      <w:r>
        <w:rPr>
          <w:rFonts w:ascii="Calibri" w:cs="Calibri" w:eastAsia="Calibri" w:hAnsi="Calibri"/>
          <w:b/>
          <w:bCs/>
          <w:color w:val="2E5496"/>
          <w:sz w:val="24"/>
          <w:szCs w:val="24"/>
        </w:rPr>
        <w:t xml:space="preserve">Confirm Ownership and Allocation Details</w:t>
      </w:r>
    </w:p>
    <w:p>
      <w:pPr>
        <w:spacing w:after="140" w:line="276"/>
      </w:pPr>
      <w:r>
        <w:rPr>
          <w:rFonts w:ascii="Calibri" w:cs="Calibri" w:eastAsia="Calibri" w:hAnsi="Calibri"/>
          <w:sz w:val="21"/>
          <w:szCs w:val="21"/>
        </w:rPr>
        <w:t xml:space="preserve">Ownership percentages on file (cap tables, operating agreements, prior-year K-1s) should be confirmed against what is actually reported on the current return, especially after any change in ownership intent. This matters even more in community-property states, where spousal ownership and income-splitting have additional rules that can affect how K-1 income is allocated between spouses.</w:t>
      </w:r>
    </w:p>
    <w:p>
      <w:pPr>
        <w:pStyle w:val="Heading2"/>
        <w:spacing w:after="80" w:before="200"/>
      </w:pPr>
      <w:r>
        <w:rPr>
          <w:rFonts w:ascii="Calibri" w:cs="Calibri" w:eastAsia="Calibri" w:hAnsi="Calibri"/>
          <w:b/>
          <w:bCs/>
          <w:color w:val="2E5496"/>
          <w:sz w:val="24"/>
          <w:szCs w:val="24"/>
        </w:rPr>
        <w:t xml:space="preserve">Tracking a Plan Through the Year</w:t>
      </w:r>
    </w:p>
    <w:p>
      <w:pPr>
        <w:spacing w:after="140" w:line="276"/>
      </w:pPr>
      <w:r>
        <w:rPr>
          <w:rFonts w:ascii="Calibri" w:cs="Calibri" w:eastAsia="Calibri" w:hAnsi="Calibri"/>
          <w:sz w:val="21"/>
          <w:szCs w:val="21"/>
        </w:rPr>
        <w:t xml:space="preserve">A tax plan is not a single memo delivered once a year — it is a set of decisions (reasonable comp, retirement funding, real estate, bookkeeping cleanup) that need to be checked at each quarterly touchpoint to confirm they are actually being implemented, not just agreed to in principle.</w:t>
      </w:r>
    </w:p>
    <w:p>
      <w:pPr>
        <w:pStyle w:val="ListParagraph"/>
        <w:numPr>
          <w:ilvl w:val="0"/>
          <w:numId w:val="2"/>
        </w:numPr>
        <w:spacing w:after="60" w:line="276"/>
      </w:pPr>
      <w:r>
        <w:rPr>
          <w:rFonts w:ascii="Calibri" w:cs="Calibri" w:eastAsia="Calibri" w:hAnsi="Calibri"/>
          <w:sz w:val="21"/>
          <w:szCs w:val="21"/>
        </w:rPr>
        <w:t xml:space="preserve">Track, quarter by quarter: projected net income, estimated tax paid vs. remaining, whether reasonable comp is on track (per owner), whether retirement contributions are being funded, real estate/entity-structure progress, bookkeeping cleanliness, and any new life or business events that change the plan.</w:t>
      </w:r>
    </w:p>
    <w:p>
      <w:pPr>
        <w:pStyle w:val="ListParagraph"/>
        <w:numPr>
          <w:ilvl w:val="0"/>
          <w:numId w:val="2"/>
        </w:numPr>
        <w:spacing w:after="60" w:line="276"/>
      </w:pPr>
      <w:r>
        <w:rPr>
          <w:rFonts w:ascii="Calibri" w:cs="Calibri" w:eastAsia="Calibri" w:hAnsi="Calibri"/>
          <w:sz w:val="21"/>
          <w:szCs w:val="21"/>
        </w:rPr>
        <w:t xml:space="preserve">A recommendation that was "agreed to" at the annual planning meeting but never implemented in payroll or the books by year-end provides no tax benefit and, in the reasonable-comp case, can leave the audit exposure it was meant to fix fully in place.</w:t>
      </w:r>
    </w:p>
    <w:p>
      <w:pPr>
        <w:spacing w:after="140" w:line="276"/>
      </w:pPr>
      <w:r>
        <w:rPr>
          <w:rFonts w:ascii="Calibri" w:cs="Calibri" w:eastAsia="Calibri" w:hAnsi="Calibri"/>
          <w:b/>
          <w:bCs/>
          <w:sz w:val="21"/>
          <w:szCs w:val="21"/>
        </w:rPr>
        <w:t xml:space="preserve">Note: </w:t>
      </w:r>
      <w:r>
        <w:rPr>
          <w:rFonts w:ascii="Calibri" w:cs="Calibri" w:eastAsia="Calibri" w:hAnsi="Calibri"/>
          <w:sz w:val="21"/>
          <w:szCs w:val="21"/>
        </w:rPr>
        <w:t xml:space="preserve">The gap between a documented recommendation and what payroll/books actually show is one of the most common findings in a follow-up review — an organizer stating compensation was "raised to $80K" should always be checked against the actual payroll summary before being relied upon.</w:t>
      </w:r>
    </w:p>
    <w:p>
      <w:r>
        <w:br w:type="pag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Tax Planning Strategies — Practitioner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2026-08-30T10:20:54.010Z</dcterms:created>
  <dcterms:modified xsi:type="dcterms:W3CDTF">2026-08-30T10:20:54.010Z</dcterms:modified>
</cp:coreProperties>
</file>

<file path=docProps/custom.xml><?xml version="1.0" encoding="utf-8"?>
<Properties xmlns="http://schemas.openxmlformats.org/officeDocument/2006/custom-properties" xmlns:vt="http://schemas.openxmlformats.org/officeDocument/2006/docPropsVTypes"/>
</file>