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94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6081 — extension of time for filing returns</w:t>
      </w:r>
    </w:p>
    <w:p>
      <w:pPr>
        <w:pStyle w:val="ListParagraph"/>
        <w:numPr>
          <w:ilvl w:val="0"/>
          <w:numId w:val="2"/>
        </w:numPr>
        <w:spacing w:after="60" w:line="276"/>
      </w:pPr>
      <w:r>
        <w:rPr>
          <w:rFonts w:ascii="Calibri" w:cs="Calibri" w:eastAsia="Calibri" w:hAnsi="Calibri"/>
          <w:sz w:val="21"/>
          <w:szCs w:val="21"/>
        </w:rPr>
        <w:t xml:space="preserve">Rev. Rul. 78-256 — superseding returns</w:t>
      </w:r>
    </w:p>
    <w:p>
      <w:pPr>
        <w:spacing w:after="120"/>
      </w:pP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267(a)(2) — matching of deduction and inclusion for related-party payments</w:t>
      </w:r>
    </w:p>
    <w:p>
      <w:pPr>
        <w:pStyle w:val="ListParagraph"/>
        <w:numPr>
          <w:ilvl w:val="0"/>
          <w:numId w:val="2"/>
        </w:numPr>
        <w:spacing w:after="60" w:line="276"/>
      </w:pPr>
      <w:r>
        <w:rPr>
          <w:rFonts w:ascii="Calibri" w:cs="Calibri" w:eastAsia="Calibri" w:hAnsi="Calibri"/>
          <w:sz w:val="21"/>
          <w:szCs w:val="21"/>
        </w:rPr>
        <w:t xml:space="preserve">Treas. Reg. § 1.267(a)-1</w:t>
      </w:r>
    </w:p>
    <w:p>
      <w:pPr>
        <w:spacing w:after="120"/>
      </w:pP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1563 — controlled group definitions and attribution rules</w:t>
      </w:r>
    </w:p>
    <w:p>
      <w:pPr>
        <w:pStyle w:val="ListParagraph"/>
        <w:numPr>
          <w:ilvl w:val="0"/>
          <w:numId w:val="2"/>
        </w:numPr>
        <w:spacing w:after="60" w:line="276"/>
      </w:pPr>
      <w:r>
        <w:rPr>
          <w:rFonts w:ascii="Calibri" w:cs="Calibri" w:eastAsia="Calibri" w:hAnsi="Calibri"/>
          <w:sz w:val="21"/>
          <w:szCs w:val="21"/>
        </w:rPr>
        <w:t xml:space="preserve">IRC § 414(m) — affiliated service groups</w:t>
      </w:r>
    </w:p>
    <w:p>
      <w:pPr>
        <w:pStyle w:val="ListParagraph"/>
        <w:numPr>
          <w:ilvl w:val="0"/>
          <w:numId w:val="2"/>
        </w:numPr>
        <w:spacing w:after="60" w:line="276"/>
      </w:pPr>
      <w:r>
        <w:rPr>
          <w:rFonts w:ascii="Calibri" w:cs="Calibri" w:eastAsia="Calibri" w:hAnsi="Calibri"/>
          <w:sz w:val="21"/>
          <w:szCs w:val="21"/>
        </w:rPr>
        <w:t xml:space="preserve">IRC § 414(b) and (c) — controlled group aggregation for qualified plan purposes</w:t>
      </w:r>
    </w:p>
    <w:p>
      <w:pPr>
        <w:spacing w:after="120"/>
      </w:pP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704(d) — limitation on allowance of partner's share of loss</w:t>
      </w:r>
    </w:p>
    <w:p>
      <w:pPr>
        <w:pStyle w:val="ListParagraph"/>
        <w:numPr>
          <w:ilvl w:val="0"/>
          <w:numId w:val="2"/>
        </w:numPr>
        <w:spacing w:after="60" w:line="276"/>
      </w:pPr>
      <w:r>
        <w:rPr>
          <w:rFonts w:ascii="Calibri" w:cs="Calibri" w:eastAsia="Calibri" w:hAnsi="Calibri"/>
          <w:sz w:val="21"/>
          <w:szCs w:val="21"/>
        </w:rPr>
        <w:t xml:space="preserve">IRC § 705 — determination of basis of partner's interest</w:t>
      </w:r>
    </w:p>
    <w:p>
      <w:pPr>
        <w:spacing w:after="120"/>
      </w:pP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2026-09-05T11:57:19.475Z</dcterms:created>
  <dcterms:modified xsi:type="dcterms:W3CDTF">2026-09-05T11:57:19.484Z</dcterms:modified>
</cp:coreProperties>
</file>

<file path=docProps/custom.xml><?xml version="1.0" encoding="utf-8"?>
<Properties xmlns="http://schemas.openxmlformats.org/officeDocument/2006/custom-properties" xmlns:vt="http://schemas.openxmlformats.org/officeDocument/2006/docPropsVTypes"/>
</file>