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101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pPr>
        <w:spacing w:after="100"/>
      </w:pPr>
      <w:r>
        <w:rPr>
          <w:rFonts w:ascii="Calibri" w:cs="Calibri" w:eastAsia="Calibri" w:hAnsi="Calibri"/>
          <w:sz w:val="21"/>
          <w:szCs w:val="21"/>
        </w:rPr>
        <w:t xml:space="preserve">97. Related-Party Property Purchases Disqualify Bonus Depreciation and §179, Even Through an LLC Wrapper</w:t>
      </w:r>
      <w:r>
        <w:rPr>
          <w:rFonts w:ascii="Calibri" w:cs="Calibri" w:eastAsia="Calibri" w:hAnsi="Calibri"/>
          <w:sz w:val="21"/>
          <w:szCs w:val="21"/>
        </w:rPr>
        <w:ptab w:alignment="right" w:relativeTo="margin" w:leader="dot"/>
        <w:t xml:space="preserve">195</w:t>
      </w:r>
    </w:p>
    <w:p>
      <w:pPr>
        <w:spacing w:after="100"/>
      </w:pPr>
      <w:r>
        <w:rPr>
          <w:rFonts w:ascii="Calibri" w:cs="Calibri" w:eastAsia="Calibri" w:hAnsi="Calibri"/>
          <w:sz w:val="21"/>
          <w:szCs w:val="21"/>
        </w:rPr>
        <w:t xml:space="preserve">98. Why an S-Corporation Owner-Employee Must Be Paid on a W-2, Not as a 1099 Contractor</w:t>
      </w:r>
      <w:r>
        <w:rPr>
          <w:rFonts w:ascii="Calibri" w:cs="Calibri" w:eastAsia="Calibri" w:hAnsi="Calibri"/>
          <w:sz w:val="21"/>
          <w:szCs w:val="21"/>
        </w:rPr>
        <w:ptab w:alignment="right" w:relativeTo="margin" w:leader="dot"/>
        <w:t xml:space="preserve">197</w:t>
      </w:r>
    </w:p>
    <w:p>
      <w:pPr>
        <w:spacing w:after="100"/>
      </w:pPr>
      <w:r>
        <w:rPr>
          <w:rFonts w:ascii="Calibri" w:cs="Calibri" w:eastAsia="Calibri" w:hAnsi="Calibri"/>
          <w:sz w:val="21"/>
          <w:szCs w:val="21"/>
        </w:rPr>
        <w:t xml:space="preserve">99. The Combined 401(k) Employee Deferral Limit Applies Across Traditional and Roth Contributions</w:t>
      </w:r>
      <w:r>
        <w:rPr>
          <w:rFonts w:ascii="Calibri" w:cs="Calibri" w:eastAsia="Calibri" w:hAnsi="Calibri"/>
          <w:sz w:val="21"/>
          <w:szCs w:val="21"/>
        </w:rPr>
        <w:ptab w:alignment="right" w:relativeTo="margin" w:leader="dot"/>
        <w:t xml:space="preserve">199</w:t>
      </w:r>
    </w:p>
    <w:p>
      <w:pPr>
        <w:spacing w:after="100"/>
      </w:pPr>
      <w:r>
        <w:rPr>
          <w:rFonts w:ascii="Calibri" w:cs="Calibri" w:eastAsia="Calibri" w:hAnsi="Calibri"/>
          <w:sz w:val="21"/>
          <w:szCs w:val="21"/>
        </w:rPr>
        <w:t xml:space="preserve">100. Negotiating the Purchase-Price Allocation (Form 8594) to Maximize Capital-Gain Treatment on a Business Sale</w:t>
      </w:r>
      <w:r>
        <w:rPr>
          <w:rFonts w:ascii="Calibri" w:cs="Calibri" w:eastAsia="Calibri" w:hAnsi="Calibri"/>
          <w:sz w:val="21"/>
          <w:szCs w:val="21"/>
        </w:rPr>
        <w:ptab w:alignment="right" w:relativeTo="margin" w:leader="dot"/>
        <w:t xml:space="preserve">201</w:t>
      </w:r>
    </w:p>
    <w:p>
      <w:pPr>
        <w:spacing w:after="100"/>
      </w:pPr>
      <w:r>
        <w:rPr>
          <w:rFonts w:ascii="Calibri" w:cs="Calibri" w:eastAsia="Calibri" w:hAnsi="Calibri"/>
          <w:sz w:val="21"/>
          <w:szCs w:val="21"/>
        </w:rPr>
        <w:t xml:space="preserve">101. Adopting a Retroactive Retirement Plan by the Extended Filing Deadline (SECURE 2.0)</w:t>
      </w:r>
      <w:r>
        <w:rPr>
          <w:rFonts w:ascii="Calibri" w:cs="Calibri" w:eastAsia="Calibri" w:hAnsi="Calibri"/>
          <w:sz w:val="21"/>
          <w:szCs w:val="21"/>
        </w:rPr>
        <w:ptab w:alignment="right" w:relativeTo="margin" w:leader="dot"/>
        <w:t xml:space="preserve">203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ListParagraph"/>
        <w:numPr>
          <w:ilvl w:val="0"/>
          <w:numId w:val="2"/>
        </w:numPr>
        <w:spacing w:after="60" w:line="276"/>
      </w:pPr>
      <w:r>
        <w:rPr>
          <w:rFonts w:ascii="Calibri" w:cs="Calibri" w:eastAsia="Calibri" w:hAnsi="Calibri"/>
          <w:sz w:val="21"/>
          <w:szCs w:val="21"/>
        </w:rPr>
        <w:t xml:space="preserve">99. The Combined 401(k) Employee Deferral Limit Applies Across Traditional and Roth Contributions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$45,000 SUV titled in the company's name and uses it for both client visits and personal errands. Over the year she drives 18,000 total miles, of which a contemporaneous mileage-log app records 12,600 as business trips (70%) — each entry time-stamped automatically with date, mileage, and a business-purpose note typed in at the time of the trip. Total vehicle costs for the year (depreciation limited under § 280F, insurance, fuel, maintenance) come to $14,000. Because 70% of the mileage is properly substantiated as business use, the company deducts 70% × $14,000 = $9,800; the remaining 30%, or $4,200 of cost, is personal and non-deductible, and because the vehicle is titled to the company, that same $4,200 of personal-use value must additionally be added to her W-2 wages as a taxable fringe benefit under Treas. Reg. § 1.61-21. Contrast this with a second owner who drives a similar vehicle and estimates "about 70% business use" without any log at all: on examination, the IRS disallows the entire deduction — not 30% of it, all of it — because § 274(d)'s stricter substantiation standard treats an unsubstantiated estimate as no different from a random guess, regardless of whether the underlying business use was genuine.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gap between these two owners is not the accuracy of their estimate — both may have driven roughly 70% for business — it is entirely whether a contemporaneous record exists. This is the one area of the tax code where being probably right, but undocumented, produces the same result as being entirely wrong.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100,000 shares of founder-level stock directly from the corporation at a nominal $0.01 par value ($1,000 total), when the company's gross assets are well under the qualifying threshold. She holds the stock for six years while the company grows, and it is eventually acquired, with her shares worth $12,000,000 at sale. Her gain is $11,999,000 ($12,000,000 minus her $1,000 basis). Because the stock qualifies as QSBS and was held beyond the five-year threshold, her exclusion cap is the greater of $10,000,000 or 10 times her basis (10 × $1,000 = $10,000) — so $10,000,000 of her gain is excluded from federal income tax entirely, and only the remaining $1,999,000 is taxed as ordinary long-term capital gain. Had she instead sold identical stock in an S-corporation (which cannot issue QSBS at all) or held it for only four years, none of the $11,999,000 gain would have qualified for any exclusion — the entire amount would have been taxed at ordinary capital-gains rates, a difference worth well over $2,000,000 in federal tax at typical capital-gains rates on the excluded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Over the years, his share of depreciation losses (fully deductible against his outside basis) reduced his outside basis to zero, and further allocated losses beyond that point were simply suspended — meanwhile the partnership continued to carry $8,000,000 of mortgage debt, of which his 10% share is $800,000. He agrees to sell his interest for a modest $50,000 cash payment. His amount realized for tax purposes is not $50,000 — it is $50,000 of cash plus his $800,000 share of debt relief (since selling the interest relieves him of that allocated liability), for a total amount realized of $850,000. Because his outside basis is zero (already exhausted by prior losses), his entire $850,000 amount realized is taxable gain — a gain seventeen times larger than the cash he actually received. Before signing anything, his advisor pulls his K-1 history and confirms his outside basis and debt share precisely; without that step, he would have modeled his tax cost on the $50,000 cash price alone and been caught badly off guard by a $850,000 gain instead.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retains $3,000,000 of after-tax profit over several years, paying no dividends, with no board-adopted plan for the cash and no documented reinvestment budget — the money simply accumulates in a money-market account while the shareholders draw modest salaries and otherwise fund their personal lifestyles through other, unrelated means. On examination, the IRS asserts the accumulated earnings tax: a flat 20% tax on accumulated taxable income beyond what the business can show it reasonably needed, which on an unexplained $3,000,000 accumulation is a $600,000 tax bill on top of the regular corporate tax already paid — with no dividend having ever actually been paid to anyone. Contrast this with a second, otherwise-identical corporation that retains the same $3,000,000, but whose board minutes each quarter document a specific, budgeted expansion plan (a new facility, a funded equipment purchase, working capital tied to a documented growth forecast) and whose shareholders are paid salaries a market compensation study supports. That corporation has a real, contemporaneously documented business reason for the accumulation and a strong defense against the same $600,000 tax — the difference between the two companies is not how much cash they kept, but whether they wrote down, as they went, why they kept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sits well above the SSTB phase-out ceiling for their filing status. One spouse's dental practice — a health-field SSTB — generates $400,000 of qualified business income; at a 20% rate that would otherwise be an $80,000 deduction, but because household income is above the ceiling, the SSTB exclusion reduces it to exactly $0, regardless of how much W-2 wages the practice pays. The other spouse's real estate brokerage generates the same $400,000 of qualified business income and is not an SSTB, so its $80,000 potential deduction survives, limited only by the ordinary wage-based cap — as long as the brokerage pays enough W-2 wages (generally at least $160,000, for the 50%-of-wages test to support a full $80,000 deduction), the couple keeps the full $80,000 QBI deduction on that side of the household, while the dental practice's identical income produces nothing. Raising the dentist's own W-2 wages cannot fix this — above the ceiling, an SSTB's QBI deduction is zero regardless of wages paid — the only lever left is managing total household taxable income back down below the ceiling in a future year, through retirement contributions or other deductions, to restore even a partial deduction on the dental practice's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owner started the year with $80,000 of stock basis. The business had a strong year — $500,000 of taxable income allocated to him, which increases his basis to $580,000 — and, feeling flush, he drew $650,000 in distributions over the year to fund a home renovation and other personal spending. A basis review in November shows the problem: $650,000 of distributions against only $580,000 of available basis means $70,000 of the distributions exceed basis and are taxable as capital gain, even though the corporation itself remains highly profitable and cash-rich, and even though "the business had a great year" was exactly why he felt comfortable drawing that much. Had he checked his running basis schedule in September rather than waiting for year-end, he could have simply paused the last distribution or two and stayed under $580,000, avoiding the $70,000 of unplanned capital gain entirely — the fix costs nothing except checking a number that many S-corp owners never track until the return is already being prepared.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that pays $900,000 in W-2 wages and generates $500,000 of qualified business income, and 75% (through that same operating company) of a related sales partnership with no employees of its own that generates $300,000 of qualified business income. Standalone, the sales partnership's QBI deduction is capped at zero, since the wage limitation (generally the greater of 50% of W-2 wages, or 25% of wages plus a small percentage of qualified property) requires wages the partnership simply does not have — a $60,000 deduction (20% of $300,000) reduced to nothing. Because ownership is common, neither business is an SSTB, and the two share customers and coordinated operations, the owner makes a valid § 1.199A-4 aggregation election. Combined QBI is $800,000 ($500,000 + $300,000), and the combined wage base is $900,000 (all from the operating company) — comfortably supporting the full 20% deduction on the combined income, or $160,000, versus just $100,000 (20% of the operating company's $500,000 alone) without aggregation. The election preserves $60,000 of deduction that would otherwise have been permanently lost on the sales partnership's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top marginal bracket receives the bulk of her compensation as RSU vesting income throughout the year. Because her employer withholds on RSU income at the flat supplemental rate — well below her actual bracket — she is under-withheld by roughly fifteen percentage points of every dollar that vests. Rather than making quarterly estimated payments, she calculates the annual dollar gap and submits a revised Form W-4 requesting a large additional flat-dollar amount be withheld from her remaining paychecks for the rest of the year. Because withholding is deemed paid evenly throughout the year no matter when it is actually withheld, this single mid-year correction cures the underpayment for the earlier vesting events as well, avoiding both the balance due and the underpayment penalty she incurred the previous year under the same pattern.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not a one-time fix — it must be revisited every year, and ideally every time a new grant vests or a stock-price swing changes the dollar value vesting, since the gap scales directly with the value of equity that vests during the year, not with base salary.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specialized equipment as part of winding down an operating company, agreeing to an owner-financed structure with a modest down payment and the balance paid over five years. Because the equipment was fully written off years earlier through bonus depreciation, its tax basis is close to zero — meaning nearly the entire price allocated to that equipment is depreciation recapture, taxed as ordinary income. That recapture tax is due in full in the year of sale under the installment-sale recapture rule, even though only a small fraction of the total sale price was actually received that year. The seller has to fund the tax bill from other resources, since the down payment alone does not cover it — a consequence that would have been avoidable with basis and cash-flow modeling before the deal terms were finalized.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Any insurance or casualty proceeds tied to a disposed asset can raise a related but separate question — gain on an involuntary disposition can sometimes be deferred if the proceeds are reinvested in qualifying replacement property, which is a distinct mechanism from the ordinary sale rules discussed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equipment is destroyed in an accident, and the business receives an insurance payout that exceeds the equipment's remaining tax basis. Rather than recognizing that excess as a taxable gain in the year of the payout, the business uses the insurance proceeds to purchase similar replacement equipment used the same way in the same business, within the applicable reinvestment window, and elects to defer the gain under the involuntary-conversion rules on that year's return. The deferred gain reduces the basis of the newly purchased equipment, so the tax is not eliminated — only postponed until the replacement equipment is itself later sold in a taxable transaction.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deferral is elective, not automatic — a taxpayer who would prefer to recognize the gain currently (for instance, to absorb it against an available loss elsewhere) can simply choose not to make the election, which is a planning choice worth evaluating rather than assuming deferral is always the better outcome.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large, one-time tax liability in a particular year is looking for a way to generate a recurring credit against future tax bills rather than a one-time deduction. Rather than developing affordable housing directly — an active, specialized undertaking — the investor commits capital to a syndicated fund that pools investor money across several qualifying low-income housing developments managed by an experienced sponsor. In exchange, the investor receives an allocated share of the federal credit, claimed annually over the credit period, evaluating the investment primarily as a scheduled tax-credit stream rather than as a conventional rental-property cash-flow investment, and specifically vetting the sponsor's history of maintaining compliance on prior properties to manage recapture risk.</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strategy is fundamentally a passive, sponsor-dependent investment rather than a hands-on real estate strategy — an investor's influence over outcomes is limited almost entirely to the diligence performed before committing capital, since day-to-day compliance and operations are controlled by the sponsor for the life of the investment.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of a growing service business want to maximize their own retirement contributions without triggering nondiscrimination testing failures given their relatively young, lower-paid staff. They adopt a safe harbor 401(k) with a 3% non-elective contribution for all eligible employees, layering a cross-tested profit-sharing formula on top that is designed, with their plan administrator's modeling, to direct the large majority of the profit-sharing dollars to the two owners as the oldest, highest-paid participants, while still satisfying the required nondiscrimination test for the plan as a whole. As part of the same design process, they also model raising their own W-2 salaries, since the profit-sharing contribution each of them can receive is capped as a percentage of their own compensation — a low owner salary would otherwise be the binding constraint on how much can be swept into their accounts, even though the business could otherwise easily afford a larger contribution.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design only works as intended when the actual employee census is modeled before commitment — a business that assumes the owners will always dominate the allocation without running the numbers against its real workforce risks discovering, only after adoption, that the safe harbor cost for covering employees is much larger than expected.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 modest number of employees adopts a new 401(k) plan for the first time, working with a third-party administrator on plan design and ongoing administration. In the plan's first year, the business claims a startup-cost credit covering a large share of the administrator's setup and first-year administration fees, and separately claims the flat auto-enrollment credit because the plan was designed from the outset to automatically enroll eligible employees unless they opt out. In subsequent years, the business also claims the separate employer-contribution credit against a portion of its own matching contributions for employees under the applicable compensation threshold — meaningfully offsetting the true first-years cost of standing up the plan.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credits are easy to miss precisely because they attach to a decision (adopting a new retirement plan) that a business owner may think of purely as an expense — a return preparer who is not specifically watching for a newly adopted plan can simply fail to claim them, since nothing about the plan itself flags their availability automatically.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does not conform to federal bonus depreciation places a large piece of equipment in service and claims full federal bonus depreciation, generating a substantial first-year federal deduction. Anticipating a state addback, the business's advisor separately models the state's own depreciation schedule for the same asset — since the state disallows the immediate write-off, requiring the difference to be added back to state taxable income in year one and then recovered gradually over the asset's normal state recovery period. By quoting the federal and state benefits separately from the outset, the business is not surprised by a large, unexpected state tax bill in the placed-in-service year, and can plan its state estimated payments accordingly.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recurs every time a business considers a large acceleration strategy — a cost-segregation study on a new building, a heavy-vehicle purchase, or major equipment — so it is worth building state conformity checking into the standard workflow for evaluating any such strategy, rather than treating it as a one-off question to ask only when someone happens to think of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converts to S-corporation status on January 1. As of that date, it owns a building with a tax basis of $600,000 and a fair market value of $1,400,000 — an $800,000 built-in gain — confirmed by a contemporaneous appraisal obtained specifically for the conversion. Three years into the five-year recognition period, the corporation sells the building for $1,500,000. Of the $900,000 total gain on the sale ($1,500,000 minus $600,000 basis), $800,000 is built-in gain that existed on the conversion date and is taxed at the corporate level at the flat corporate rate (21% under current law) — a corporate-level tax of $168,000 — before the remaining income flows through to the shareholders and is taxed again on their personal returns as pass-through income. Only the $100,000 of gain that accrued after conversion ($1,500,000 minus the $1,400,000 conversion-date value) escapes the built-in-gains tax entirely. Had the corporation waited two more years — past the five-year recognition period — to sell the same building at the same price, the entire $900,000 gain would have passed through to the shareholders with no corporate-level tax at all, a $168,000 difference driven purely by timing the sale relative to the recognition-period clock.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holds stock with a basis of $200,000, and the corporation agrees to redeem all of it for $2,000,000 as part of a retirement buyout. If the redemption is taxed as a dividend (because the parent's child continues to own stock in the same corporation, and that ownership is attributed back to the parent under the family-attribution rules), the entire $2,000,000 is ordinary dividend income, with no offset for the parent's $200,000 basis — taxed at ordinary rates on the full amount. If instead the parent retains no prohibited continuing interest in the business (no board seat, no employment) and properly files the election waiving family attribution with their return for the year of the redemption, the redemption qualifies as a complete termination: the parent recognizes long-term capital gain of only $1,800,000 ($2,000,000 minus $200,000 basis), taxed at capital-gain rates rather than ordinary rates, and on a smaller taxable amount to begin with. At a rough combined ordinary-versus-capital-gain rate differential of 15 percentage points, that is on the order of $270,000–$300,000 of additional tax avoided purely by filing one election correctly and confirming no informal continuing relationship exists.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young child's future without restricting the funds specifically to education costs the way a 529 plan effectively does. After comparing the newer account type against a 529 plan and a standard custodial account, the parent opens one of these tax-favored accounts for the child, contributing within the applicable annual limit and letting the funds grow tax-deferred, while continuing to separately fund a 529 plan for anticipated education costs — using the two vehicles side by side for their different intended purposes rather than as substitutes for each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vehicle is new relative to the well-established 529 plan and custodial-account rules, treat any current understanding of its mechanics as provisional — confirm the latest guidance before making a significant funding decision, rather than relying on an initial impression of how the account will ultimately behave.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owners of a profitable, non-specified-service S-corporation are already paying themselves W-2 salaries well above the level needed to clear the QBI wage-limitation test, so the full 20% QBI deduction is not currently at risk. When their retirement-plan administrator proposes doubling their salaries to unlock a much larger profit-sharing contribution under the plan's design, the owners' advisor models the change as a single combined calculation rather than looking at the retirement benefit in isolation: the additional payroll tax on the higher wages, the dollar-for-dollar reduction in the QBI deduction as qualified business income shrinks by the same amount the salary increases, and the value of the larger retirement contribution the higher salary makes possible. Only after netting all three together — with the QBI erosion turning out to be a much larger drag than initially assumed — do the owners settle on a smaller wage increase than the plan administrator's design had originally proposed, one that still meaningfully increases their retirement contribution without giving up more QBI deduction than the retirement benefit is worth.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trade-off is easy to miss precisely because the retirement-plan side of the calculation is usually run by a plan administrator focused on maximizing plan contributions, while the QBI side sits with the tax preparer — unless someone deliberately models both together, the wage decision can be made without ever actually seeing the net number.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with a child who has a qualifying disability that began well before the applicable age threshold wants to set aside savings for the child's future needs without jeopardizing the child's eligibility for means-tested disability benefits later in life. Rather than saving in the child's name in an ordinary account, which could push the child over the strict asset limit those benefit programs impose, the family establishes this specialized tax-advantaged account for the child's benefit, contributing within the annual limit each year. The funds grow tax-free, and the family plans to use distributions for a range of disability-related expenses — education, therapy, adaptive equipment, and future housing needs — while the account balance, up to its own separate limit, does not count against the benefit programs' asset test the way ordinary savings in the child's name would.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account is worth setting up well before the family expects to need it, since the tax-free growth compounds over time — a family that waits until the child is closer to needing means-tested benefits loses years of tax-advantaged growth compared to one that opens the account as early as the child qualifies.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receives a large capital gain in the third quarter of the year, on top of otherwise modest wage income earned evenly throughout the year. Using the standard even-quarters approach, the first and second quarterly payments would need to already reflect a full one-quarter share of the eventual full-year tax liability — even though, at those points in the year, the large gain had not yet been received. By instead using the annualized income installment method, the individual calculates the first- and second-quarter required payments based only on the wage income and modest investment income actually earned through each of those dates, avoiding an underpayment penalty on the earlier quarters, and then makes a larger payment reflecting the concentrated gain once it is actually recognized in the third quarter.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method is a calculation tool for avoiding a penalty on genuinely lumpy income, not a way to defer tax that is otherwise due — the full year's tax liability is still due by the original filing deadline regardless of which installment method was used to avoid the underpayment penalty along the way.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$1,800,000 from online education and product sales (non-SSTB) and $220,000 from a licensed clinical service (an SSTB) — the clinical revenue is about 10.9% of the entity's $2,020,000 total gross receipts, just over the roughly 10% de minimis threshold for a business this size. Crossing that threshold taints the entire entity as an SSTB, dropping its QBI deduction to zero on all $2,020,000 of income once the owner's taxable income clears the phase-out ceiling — not just on the $220,000 clinical share, but on the much larger $1,800,000 education and product-sales share that would otherwise clearly qualify. At a 20% QBI rate, that is a $360,000 deduction wiped out by a revenue mix that tips just barely over 10%. Splitting the education and product-sales activity into a newly formed, separately operated entity — its own contracts, its own customer relationships, no more than an incidental share of revenue flowing back to the original clinical entity — removes that $1,800,000 of income from the SSTB-tainted entity entirely. The new entity's QBI deduction is then computed on its own facts, restoring the full $360,000 deduction on the non-SSTB revenue going forward, while the original entity's $220,000 clinical income remains correctly at zero QBI above the income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substantial inheritance to an adult child with a lifelong disability who currently relies on means-tested government benefits for basic care and housing support. Rather than naming the child directly as a beneficiary of their estate — which would disqualify the child from those benefits the moment the inheritance was received — the family establishes a special needs trust, naming a trusted family member as trustee alongside a professional co-trustee. The family's estate plan directs the inheritance into this trust rather than to the child directly, and the trustee uses trust funds over the years for supplemental needs — specialized care, adaptive equipment, and enriching activities — without those distributions counting against the child's continued eligibility for the government benefits that cover basic care.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trust that has to be right from the day it is signed — errors discovered only after the beneficiary has already received a disqualifying distribution, or after benefits have already been terminated, are often far harder and more costly to unwind than they would have been to prevent with proper drafting from the start.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in March, after the prior tax year has already closed, that no W-2 wages were ever run for him during that year — despite $600,000 of profit having been distributed to him as if it were entirely tax-favored distribution income. His accountant explores simply running a retroactive $150,000 wage for the prior year, which would generate a $150,000 deduction to the corporation and support a $37,500 SEP-style retirement contribution for that year. Both ideas fail on the same fact: because he owns more than 50% of the corporation, § 267(a)(2) does not allow the wage deduction until the year cash actually reaches him — and no cash was actually paid to him as wages during the prior year, only as distributions. Issuing a W-2 dated for the closed year, with no corresponding cash payment having occurred in that year, would not create a valid deduction; it would create a W-2 that misstates when compensation was paid. The $150,000 deduction and the $37,500 retirement contribution are both unavailable for the closed year — full stop, no paperwork fix exists — and the business instead corrects its payroll going forward, running an actual, contemporaneous wage for the current year so the same mistake does not repeat.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wholly owns Company A (3 employees) and wants to adopt an owner-only 401(k) and cash-balance plan there, projecting a $250,000 combined annual contribution and deduction. He also owns 60% of Company B, a business with 40 employees, through which his wife separately owns another 15% (attributed to him as a spouse, bringing his effective ownership to 75%). Because the same five-or-fewer-owners test and the more-than-80%/50%-identical-ownership thresholds are met once his wife's attributed interest is included, Companies A and B are a controlled group and must be treated as one employer for retirement-plan purposes — meaning the plan at Company A must actually satisfy coverage testing counting all 43 combined employees, not just the 3 at Company A. Before finalizing plan documents, the actuary maps every entity (including the wife's attributed interest, which the owner had not initially mentioned because the shares were technically hers) and reruns the analysis. The corrected design either brings Company B's employees into the plan's coverage (materially raising cost, since nondiscrimination testing now spans 43 people, not 3) or restructures the ownership relationship before adoption — either way, catching this before the plan document is signed avoids a coverage failure that would be far more expensive to unwind after the fact, potentially including plan disqualification and retroactive taxation of all prior contributions.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partner's outside basis is currently zero. Three years ago, the partnership allocated him a $60,000 loss when his basis was only $15,000 — $15,000 was deductible that year, and the remaining $45,000 was suspended under § 704(d), carried forward on his records but never yet deducted. The partnership is now winding down and preparing to liquidate, which would otherwise permanently forfeit that $45,000 suspended loss, since a suspended §704(d) loss does not survive a disposition once basis remains at zero. Before the liquidation, he contributes an additional $45,000 of capital to the partnership. That contribution restores his outside basis to $45,000, which immediately frees the full $45,000 suspended loss for deduction on this year's return — at a combined federal-and-state marginal rate of 35%, that is roughly $15,750 of tax savings captured by a $45,000 contribution that would otherwise have simply funded the wind-down with no basis benefit at all. The same $45,000 basis increase also reduces, dollar for dollar, any capital gain the liquidating distribution itself would otherwise trigger — a single contribution doing double duty at exactly the moment it matters most.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regularly advances funds to its sole owner as a running loan balance, with no formal note, no stated interest rate, and no fixed repayment schedule. Left as-is, this arrangement risks being treated under the below-market loan rules as generating foregone interest income to the business each year, offset by a deemed corporate distribution to the owner in the same amount — an unpleasant surprise if raised on examination, layered on top of whatever other tax questions an informal shareholder loan already invites. To fix this going forward, the business and the owner document the outstanding balance with a written promissory note bearing interest at or above the applicable federal rate for the note's term, with a defined repayment schedule, converting what had been an undocumented advance into a properly structured loan that avoids the foregone-interest recharacterization entirely.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fix that costs nothing beyond the paperwork and the willingness to actually charge and collect a modest interest rate — the alternative, an informal related-party loan left interest-free indefinitely, quietly generates a compounding, largely invisible tax exposure every single year it remains undocumented.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97. Related-Party Property Purchases Disqualify Bonus Depreciation and §179, Even Through an LLC Wrapper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IRS Compliance &amp; Risk Management</w:t>
      </w:r>
    </w:p>
    <w:p>
      <w:pPr>
        <w:spacing w:after="140" w:line="276"/>
      </w:pPr>
      <w:r>
        <w:rPr>
          <w:rFonts w:ascii="Calibri" w:cs="Calibri" w:eastAsia="Calibri" w:hAnsi="Calibri"/>
          <w:sz w:val="21"/>
          <w:szCs w:val="21"/>
        </w:rPr>
        <w:t xml:space="preserve">Bonus depreciation and the §179 expensing election are among the most powerful tools for accelerating deductions on newly acquired business or rental property, but both come with a condition that is easy to overlook: the property generally must be acquired from a party the buyer is not related to. When a taxpayer buys real estate or equipment from a parent, sibling, child, or other closely related person or entity, that condition fails — and no amount of restructuring the purchase through an LLC or other entity changes the outcome, because the related-party test looks through the entity to the people who actually control it.</w:t>
      </w:r>
    </w:p>
    <w:p>
      <w:pPr>
        <w:pStyle w:val="Heading2"/>
        <w:spacing w:after="80" w:before="200"/>
      </w:pPr>
      <w:r>
        <w:rPr>
          <w:rFonts w:ascii="Calibri" w:cs="Calibri" w:eastAsia="Calibri" w:hAnsi="Calibri"/>
          <w:b/>
          <w:bCs/>
          <w:color w:val="2E5496"/>
          <w:sz w:val="24"/>
          <w:szCs w:val="24"/>
        </w:rPr>
        <w:t xml:space="preserve">Why the Relationship of the Parties, Not the Entity on the Deed, Controls</w:t>
      </w:r>
    </w:p>
    <w:p>
      <w:pPr>
        <w:spacing w:after="140" w:line="276"/>
      </w:pPr>
      <w:r>
        <w:rPr>
          <w:rFonts w:ascii="Calibri" w:cs="Calibri" w:eastAsia="Calibri" w:hAnsi="Calibri"/>
          <w:sz w:val="21"/>
          <w:szCs w:val="21"/>
        </w:rPr>
        <w:t xml:space="preserve">The related-party rules were written to prevent a taxpayer from generating an artificial depreciation benefit by shuffling an asset within a family or a closely held group without any real change in economic ownership. The test asks whether the buyer and the seller are related under a specific definition — which reaches lineal ancestors and descendants, siblings, and entities that are majority-owned or controlled by the same person or family — not simply whether the two sides signed a purchase agreement as separate legal names.</w:t>
      </w:r>
    </w:p>
    <w:p>
      <w:pPr>
        <w:spacing w:after="140" w:line="276"/>
      </w:pPr>
      <w:r>
        <w:rPr>
          <w:rFonts w:ascii="Calibri" w:cs="Calibri" w:eastAsia="Calibri" w:hAnsi="Calibri"/>
          <w:sz w:val="21"/>
          <w:szCs w:val="21"/>
        </w:rPr>
        <w:t xml:space="preserve">This is precisely why interposing an LLC between the buyer and a related seller does not cure the problem. If a taxpayer's LLC purchases property from that taxpayer's parent, the analysis looks through the LLC to its owner and asks whether the owner is related to the seller. Because the LLC is disregarded (or otherwise controlled by the same related person) for this purpose, the related-party relationship between the individual and the parent controls the outcome regardless of which name appears as the buyer on the closing documents.</w:t>
      </w:r>
    </w:p>
    <w:p>
      <w:pPr>
        <w:spacing w:after="140" w:line="276"/>
      </w:pPr>
      <w:r>
        <w:rPr>
          <w:rFonts w:ascii="Calibri" w:cs="Calibri" w:eastAsia="Calibri" w:hAnsi="Calibri"/>
          <w:sz w:val="21"/>
          <w:szCs w:val="21"/>
        </w:rPr>
        <w:t xml:space="preserve">The consequence of losing bonus depreciation and §179 eligibility is not that the property becomes non-depreciable — it simply falls back to ordinary, straight-line depreciation over the asset's regular recovery period (typically 27.5 or 39 years for real estate, or the applicable class life for equipment), rather than being expensed in the year the asset is placed in service. For a taxpayer whose entire economic case for the purchase rested on a large first-year deduction, this can turn an otherwise attractive acquisition into a much less compelling one on an after-tax basis.</w:t>
      </w:r>
    </w:p>
    <w:p>
      <w:pPr>
        <w:pStyle w:val="ListParagraph"/>
        <w:numPr>
          <w:ilvl w:val="0"/>
          <w:numId w:val="2"/>
        </w:numPr>
        <w:spacing w:after="60" w:line="276"/>
      </w:pPr>
      <w:r>
        <w:rPr>
          <w:rFonts w:ascii="Calibri" w:cs="Calibri" w:eastAsia="Calibri" w:hAnsi="Calibri"/>
          <w:sz w:val="21"/>
          <w:szCs w:val="21"/>
        </w:rPr>
        <w:t xml:space="preserve">Before committing to any purchase where accelerated depreciation is part of the economic rationale, identify every party on the other side of the transaction and check each one against the related-party definitions — not just the immediate seller of record, but who actually controls that seller.</w:t>
      </w:r>
    </w:p>
    <w:p>
      <w:pPr>
        <w:pStyle w:val="ListParagraph"/>
        <w:numPr>
          <w:ilvl w:val="0"/>
          <w:numId w:val="2"/>
        </w:numPr>
        <w:spacing w:after="60" w:line="276"/>
      </w:pPr>
      <w:r>
        <w:rPr>
          <w:rFonts w:ascii="Calibri" w:cs="Calibri" w:eastAsia="Calibri" w:hAnsi="Calibri"/>
          <w:sz w:val="21"/>
          <w:szCs w:val="21"/>
        </w:rPr>
        <w:t xml:space="preserve">Do not assume that buying through a newly formed LLC, trust, or other entity changes the related-party analysis — the rule looks through to the individuals who own and control the buying entity.</w:t>
      </w:r>
    </w:p>
    <w:p>
      <w:pPr>
        <w:pStyle w:val="ListParagraph"/>
        <w:numPr>
          <w:ilvl w:val="0"/>
          <w:numId w:val="2"/>
        </w:numPr>
        <w:spacing w:after="60" w:line="276"/>
      </w:pPr>
      <w:r>
        <w:rPr>
          <w:rFonts w:ascii="Calibri" w:cs="Calibri" w:eastAsia="Calibri" w:hAnsi="Calibri"/>
          <w:sz w:val="21"/>
          <w:szCs w:val="21"/>
        </w:rPr>
        <w:t xml:space="preserve">If a related-party purchase is unavoidable (for example, a family member is selling a property the taxpayer specifically wants), model the deal on ordinary MACRS depreciation from the outset rather than assuming bonus depreciation or §179 will be available, so the decision to proceed is made on accurate numbers.</w:t>
      </w:r>
    </w:p>
    <w:p>
      <w:pPr>
        <w:pStyle w:val="ListParagraph"/>
        <w:numPr>
          <w:ilvl w:val="0"/>
          <w:numId w:val="2"/>
        </w:numPr>
        <w:spacing w:after="60" w:line="276"/>
      </w:pPr>
      <w:r>
        <w:rPr>
          <w:rFonts w:ascii="Calibri" w:cs="Calibri" w:eastAsia="Calibri" w:hAnsi="Calibri"/>
          <w:sz w:val="21"/>
          <w:szCs w:val="21"/>
        </w:rPr>
        <w:t xml:space="preserve">Where the depreciation benefit was the primary reason for the purchase and it turns out to be unavailable, revisit whether the transaction still makes sense on its underlying economics alone, before the parties are contractually committed.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taxpayer's newly formed LLC is under contract to buy a vacation rental condo from the taxpayer's parent and stepparent, with the expectation of a large first-year bonus-depreciation deduction from a cost segregation study. Because the parent is a related party to the taxpayer under the related-party definitions, and the purchasing LLC is wholly owned and controlled by the taxpayer, the related-party relationship carries through to the LLC regardless of the entity wrapper. Bonus depreciation and §179 are unavailable on the purchase; only ordinary straight-line depreciation over the property's regular recovery period applies. Before finalizing the purchase, the taxpayer re-models the deal using ordinary depreciation instead of the assumed bonus deduction, to confirm the transaction still makes sense once the anticipated first-year tax benefit is removed from the analysis.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is easy to miss precisely because the entity holding title looks unrelated to the seller on paper — the related-party analysis is about who ultimately controls the buying entity, not what name is on the deed, and it is worth checking before a purchase is finalized rather than after a return has already been prepared assuming the larger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98. Why an S-Corporation Owner-Employee Must Be Paid on a W-2, Not as a 1099 Contractor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An S-corporation's entire payroll-tax advantage rests on a simple mechanical requirement: the owner who works in the business must be paid as a W-2 employee, with payroll taxes withheld and remitted, before any residual profit can be taken as a distribution free of employment tax. When an S-corporation instead pays its owner-operator through the 1099 contractor system — treating the owner's pay as outside contract labor rather than officer wages — it does not merely fail to reap the S-corp benefit; it actively creates a worse tax outcome than not electing S status at all, because the owner ends up personally exposed to self-employment tax on income the corporation has already deducted as a business expense.</w:t>
      </w:r>
    </w:p>
    <w:p>
      <w:pPr>
        <w:pStyle w:val="Heading2"/>
        <w:spacing w:after="80" w:before="200"/>
      </w:pPr>
      <w:r>
        <w:rPr>
          <w:rFonts w:ascii="Calibri" w:cs="Calibri" w:eastAsia="Calibri" w:hAnsi="Calibri"/>
          <w:b/>
          <w:bCs/>
          <w:color w:val="2E5496"/>
          <w:sz w:val="24"/>
          <w:szCs w:val="24"/>
        </w:rPr>
        <w:t xml:space="preserve">The Double Exposure Created by Paying an Owner as a Contractor</w:t>
      </w:r>
    </w:p>
    <w:p>
      <w:pPr>
        <w:spacing w:after="140" w:line="276"/>
      </w:pPr>
      <w:r>
        <w:rPr>
          <w:rFonts w:ascii="Calibri" w:cs="Calibri" w:eastAsia="Calibri" w:hAnsi="Calibri"/>
          <w:sz w:val="21"/>
          <w:szCs w:val="21"/>
        </w:rPr>
        <w:t xml:space="preserve">An S-corporation shareholder who performs services for the business is legally required to be treated as an employee for that work and paid reasonable compensation through payroll, with the corporation withholding federal income tax, Social Security, and Medicare, and paying the employer share of FICA. Only profit remaining after that reasonable salary can be distributed to the shareholder as a distribution, which is not subject to FICA or self-employment tax — that gap between W-2 wages and untaxed distributions is the entire reason an active owner elects S-corporation status in the first place.</w:t>
      </w:r>
    </w:p>
    <w:p>
      <w:pPr>
        <w:spacing w:after="140" w:line="276"/>
      </w:pPr>
      <w:r>
        <w:rPr>
          <w:rFonts w:ascii="Calibri" w:cs="Calibri" w:eastAsia="Calibri" w:hAnsi="Calibri"/>
          <w:sz w:val="21"/>
          <w:szCs w:val="21"/>
        </w:rPr>
        <w:t xml:space="preserve">When the owner is instead paid as a 1099 independent contractor, two problems compound each other. First, the corporation has no officer wages at all, so it cannot support the reasonable-compensation position the S-election depends on — an examiner reviewing a return with $0 officer wages and a large "contract labor" expense line to the sole shareholder-operator has a straightforward case to recharacterize that pay as wages and assess back payroll tax and penalties directly against the corporation. Second, and independently, the owner who receives that pay as a 1099 contractor must report it as self-employment income on their personal return and pay full self-employment tax on it — the same 15.3% the S-election was meant to reduce down to FICA only on a reasonable salary.</w:t>
      </w:r>
    </w:p>
    <w:p>
      <w:pPr>
        <w:spacing w:after="140" w:line="276"/>
      </w:pPr>
      <w:r>
        <w:rPr>
          <w:rFonts w:ascii="Calibri" w:cs="Calibri" w:eastAsia="Calibri" w:hAnsi="Calibri"/>
          <w:sz w:val="21"/>
          <w:szCs w:val="21"/>
        </w:rPr>
        <w:t xml:space="preserve">The result is not a wash; it is worse than never having elected S-corporation status. A default LLC taxed as a sole proprietorship or partnership would have generated self-employment tax on the owner's profit, but at least the entity would not be carrying the compliance burden and exposure of an S-election that is not actually being administered — no payroll tax return, no reasonable-compensation defense, and no accountable plan or fringe-benefit treatment available, because none of those benefits attach until real W-2 wages exist.</w:t>
      </w:r>
    </w:p>
    <w:p>
      <w:pPr>
        <w:pStyle w:val="ListParagraph"/>
        <w:numPr>
          <w:ilvl w:val="0"/>
          <w:numId w:val="2"/>
        </w:numPr>
        <w:spacing w:after="60" w:line="276"/>
      </w:pPr>
      <w:r>
        <w:rPr>
          <w:rFonts w:ascii="Calibri" w:cs="Calibri" w:eastAsia="Calibri" w:hAnsi="Calibri"/>
          <w:sz w:val="21"/>
          <w:szCs w:val="21"/>
        </w:rPr>
        <w:t xml:space="preserve">Confirm that every owner who performs services for an S-corporation is on the payroll system as a W-2 employee, not coded as a 1099 contractor, before assuming any of the S-election's payroll-tax savings are actually being realized.</w:t>
      </w:r>
    </w:p>
    <w:p>
      <w:pPr>
        <w:pStyle w:val="ListParagraph"/>
        <w:numPr>
          <w:ilvl w:val="0"/>
          <w:numId w:val="2"/>
        </w:numPr>
        <w:spacing w:after="60" w:line="276"/>
      </w:pPr>
      <w:r>
        <w:rPr>
          <w:rFonts w:ascii="Calibri" w:cs="Calibri" w:eastAsia="Calibri" w:hAnsi="Calibri"/>
          <w:sz w:val="21"/>
          <w:szCs w:val="21"/>
        </w:rPr>
        <w:t xml:space="preserve">If an owner has been paid as a 1099 contractor since the S-election took effect, convert to W-2 payroll immediately and re-characterize the payments already made this year as wages rather than contract labor, rather than waiting until year-end.</w:t>
      </w:r>
    </w:p>
    <w:p>
      <w:pPr>
        <w:pStyle w:val="ListParagraph"/>
        <w:numPr>
          <w:ilvl w:val="0"/>
          <w:numId w:val="2"/>
        </w:numPr>
        <w:spacing w:after="60" w:line="276"/>
      </w:pPr>
      <w:r>
        <w:rPr>
          <w:rFonts w:ascii="Calibri" w:cs="Calibri" w:eastAsia="Calibri" w:hAnsi="Calibri"/>
          <w:sz w:val="21"/>
          <w:szCs w:val="21"/>
        </w:rPr>
        <w:t xml:space="preserve">Size the reasonable-compensation W-2 amount to reflect the actual time and effort the owner devotes to the business, documented contemporaneously — the salary must be defensible on its own facts, not simply a token amount designed to minimize payroll tax.</w:t>
      </w:r>
    </w:p>
    <w:p>
      <w:pPr>
        <w:pStyle w:val="ListParagraph"/>
        <w:numPr>
          <w:ilvl w:val="0"/>
          <w:numId w:val="2"/>
        </w:numPr>
        <w:spacing w:after="60" w:line="276"/>
      </w:pPr>
      <w:r>
        <w:rPr>
          <w:rFonts w:ascii="Calibri" w:cs="Calibri" w:eastAsia="Calibri" w:hAnsi="Calibri"/>
          <w:sz w:val="21"/>
          <w:szCs w:val="21"/>
        </w:rPr>
        <w:t xml:space="preserve">Do not treat the S-election as delivering any benefit on its own — the payroll-tax savings, the accountable-plan reimbursements, and the retirement-plan contributions tied to W-2 wages are all inert until real payroll is actually running.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sole owner-operator elects S-corporation status for their business but continues paying themselves through the same 1099 contractor system used for outside crew, coded on the books as "contract labor" rather than officer wages. Because no W-2 wages exist, the owner personally owes self-employment tax on the full amount received, while the corporation's S-election sits dormant — none of its intended payroll-tax savings materialize, and the arrangement is now weaker than if the entity had simply remained a default single-member LLC. Once identified, the owner is converted to W-2 payroll running a reasonable salary, and the pay already received in the current year is re-characterized from contract labor to wages so that the S-election's benefit finally begins to apply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expensive-to-ignore S-corp mistakes precisely because it is invisible on the surface — the election paperwork is filed and accepted by the IRS, so it looks complete, while the actual payroll mechanics that make the election worth anything have simply never been turned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99. The Combined 401(k) Employee Deferral Limit Applies Across Traditional and Roth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401(k) plan that offers both a traditional (pre-tax) and a Roth (after-tax) deferral option can create a natural but costly misunderstanding: the annual employee elective-deferral limit is a single combined cap across both types of contribution, not a separate limit for each. A participant who defers up to the limit on the traditional side and then deferred up to the same limit again on the Roth side has not doubled their tax-advantaged savings — they have created an excess deferral that carries its own correction requirements and, left uncorrected, an excise tax.</w:t>
      </w:r>
    </w:p>
    <w:p>
      <w:pPr>
        <w:pStyle w:val="Heading2"/>
        <w:spacing w:after="80" w:before="200"/>
      </w:pPr>
      <w:r>
        <w:rPr>
          <w:rFonts w:ascii="Calibri" w:cs="Calibri" w:eastAsia="Calibri" w:hAnsi="Calibri"/>
          <w:b/>
          <w:bCs/>
          <w:color w:val="2E5496"/>
          <w:sz w:val="24"/>
          <w:szCs w:val="24"/>
        </w:rPr>
        <w:t xml:space="preserve">One Shared Cap, Not Two Separate Ones</w:t>
      </w:r>
    </w:p>
    <w:p>
      <w:pPr>
        <w:spacing w:after="140" w:line="276"/>
      </w:pPr>
      <w:r>
        <w:rPr>
          <w:rFonts w:ascii="Calibri" w:cs="Calibri" w:eastAsia="Calibri" w:hAnsi="Calibri"/>
          <w:sz w:val="21"/>
          <w:szCs w:val="21"/>
        </w:rPr>
        <w:t xml:space="preserve">The annual limit on what an employee may elect to defer from their own paycheck into a 401(k) plan is set once per year by the IRS and applies to the total of all elective deferrals the employee makes to that plan (and, generally, to any other 401(k) or similar plan the same person contributes to in the same year), regardless of whether those deferrals are directed to the traditional pre-tax bucket, the Roth after-tax bucket, or split between the two. Splitting contributions between traditional and Roth changes the tax character of the money going in and coming out later — it does not create a second, independent limit.</w:t>
      </w:r>
    </w:p>
    <w:p>
      <w:pPr>
        <w:spacing w:after="140" w:line="276"/>
      </w:pPr>
      <w:r>
        <w:rPr>
          <w:rFonts w:ascii="Calibri" w:cs="Calibri" w:eastAsia="Calibri" w:hAnsi="Calibri"/>
          <w:sz w:val="21"/>
          <w:szCs w:val="21"/>
        </w:rPr>
        <w:t xml:space="preserve">This is easy to get wrong in practice because payroll systems often let an employee set two separate percentage or dollar elections — one for traditional, one for Roth — without necessarily flagging in real time that the combined total is tracking above the annual cap. A participant (or a payroll processor manually calculating deferral amounts) can end up contributing meaningfully more than the limit for several pay periods before anyone notices, particularly when the elections were set up separately rather than as a single combined instruction.</w:t>
      </w:r>
    </w:p>
    <w:p>
      <w:pPr>
        <w:spacing w:after="140" w:line="276"/>
      </w:pPr>
      <w:r>
        <w:rPr>
          <w:rFonts w:ascii="Calibri" w:cs="Calibri" w:eastAsia="Calibri" w:hAnsi="Calibri"/>
          <w:sz w:val="21"/>
          <w:szCs w:val="21"/>
        </w:rPr>
        <w:t xml:space="preserve">An excess deferral that is not corrected by the tax deadline is taxed twice — once in the year it was contributed and again when it is eventually distributed — and can trigger an excise tax on the plan for failing to correct it timely. The fix, once identified mid-year, is straightforward: recalculate the remaining pay periods so the combined traditional-plus-Roth deferral lands exactly at the annual limit by year-end, rather than continuing to over-contribute and needing a corrective distribution later.</w:t>
      </w:r>
    </w:p>
    <w:p>
      <w:pPr>
        <w:pStyle w:val="ListParagraph"/>
        <w:numPr>
          <w:ilvl w:val="0"/>
          <w:numId w:val="2"/>
        </w:numPr>
        <w:spacing w:after="60" w:line="276"/>
      </w:pPr>
      <w:r>
        <w:rPr>
          <w:rFonts w:ascii="Calibri" w:cs="Calibri" w:eastAsia="Calibri" w:hAnsi="Calibri"/>
          <w:sz w:val="21"/>
          <w:szCs w:val="21"/>
        </w:rPr>
        <w:t xml:space="preserve">Track traditional and Roth 401(k) deferrals together against the single combined annual limit, not as two separate allowances, whenever a plan offers both options.</w:t>
      </w:r>
    </w:p>
    <w:p>
      <w:pPr>
        <w:pStyle w:val="ListParagraph"/>
        <w:numPr>
          <w:ilvl w:val="0"/>
          <w:numId w:val="2"/>
        </w:numPr>
        <w:spacing w:after="60" w:line="276"/>
      </w:pPr>
      <w:r>
        <w:rPr>
          <w:rFonts w:ascii="Calibri" w:cs="Calibri" w:eastAsia="Calibri" w:hAnsi="Calibri"/>
          <w:sz w:val="21"/>
          <w:szCs w:val="21"/>
        </w:rPr>
        <w:t xml:space="preserve">When setting or changing payroll deferral elections mid-year, recalculate the combined per-pay-period amount needed to land at the annual limit by year-end, rather than setting each bucket independently.</w:t>
      </w:r>
    </w:p>
    <w:p>
      <w:pPr>
        <w:pStyle w:val="ListParagraph"/>
        <w:numPr>
          <w:ilvl w:val="0"/>
          <w:numId w:val="2"/>
        </w:numPr>
        <w:spacing w:after="60" w:line="276"/>
      </w:pPr>
      <w:r>
        <w:rPr>
          <w:rFonts w:ascii="Calibri" w:cs="Calibri" w:eastAsia="Calibri" w:hAnsi="Calibri"/>
          <w:sz w:val="21"/>
          <w:szCs w:val="21"/>
        </w:rPr>
        <w:t xml:space="preserve">Catch an over-deferral as early in the year as possible — the earlier it is caught, the more remaining pay periods are available to dial the deferral rate back down to zero for the balance of the year, minimizing any need for a corrective distribution.</w:t>
      </w:r>
    </w:p>
    <w:p>
      <w:pPr>
        <w:pStyle w:val="ListParagraph"/>
        <w:numPr>
          <w:ilvl w:val="0"/>
          <w:numId w:val="2"/>
        </w:numPr>
        <w:spacing w:after="60" w:line="276"/>
      </w:pPr>
      <w:r>
        <w:rPr>
          <w:rFonts w:ascii="Calibri" w:cs="Calibri" w:eastAsia="Calibri" w:hAnsi="Calibri"/>
          <w:sz w:val="21"/>
          <w:szCs w:val="21"/>
        </w:rPr>
        <w:t xml:space="preserve">Remember this combined-limit rule applies across all 401(k)-type plans an individual contributes to in the same year, including a case where someone changes employers mid-year and deferred at both jobs — not just within a single employer's plan.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sets up payroll deferral elections for both a traditional 401(k) contribution and a Roth 401(k) contribution as two separate ongoing amounts per pay period, intending to maximize tax-advantaged retirement savings. Partway through the year, a review of year-to-date payroll shows the combined traditional-plus-Roth deferral is on pace to land several thousand dollars above the annual limit — the two elections were sized independently rather than against a shared cap. The payroll deferral is immediately reduced for the remaining pay periods of the year so the combined total lands exactly at the annual limit, avoiding the double taxation and potential excise tax that an uncorrected excess deferral would trigger.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mistake tends to surface only when someone actually adds up both deferral streams together — reviewing either the traditional or the Roth contribution in isolation against the full annual limit looks perfectly fine, which is exactly how it goes unnoticed for months at a time.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100. Negotiating the Purchase-Price Allocation (Form 8594) to Maximize Capital-Gain Treatment on a Business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When a business is sold as an asset sale rather than a sale of stock or a membership interest, the total sale price is not taxed as a single lump sum — it must be allocated across specific categories of assets, each of which carries its own tax character. A dollar allocated to inventory or to certain ordinary-income assets is taxed very differently than a dollar allocated to goodwill, which generally qualifies for favorable long-term capital-gain treatment. Because the buyer and seller are required to report a consistent allocation to the IRS on Form 8594, and because the two sides often have opposing incentives on how that allocation is drawn, the negotiation over this allocation is frequently the single highest-value item in the entire transaction — often larger than any other deduction or credit available to the seller that year.</w:t>
      </w:r>
    </w:p>
    <w:p>
      <w:pPr>
        <w:pStyle w:val="Heading2"/>
        <w:spacing w:after="80" w:before="200"/>
      </w:pPr>
      <w:r>
        <w:rPr>
          <w:rFonts w:ascii="Calibri" w:cs="Calibri" w:eastAsia="Calibri" w:hAnsi="Calibri"/>
          <w:b/>
          <w:bCs/>
          <w:color w:val="2E5496"/>
          <w:sz w:val="24"/>
          <w:szCs w:val="24"/>
        </w:rPr>
        <w:t xml:space="preserve">Why the Allocation, Not Just the Price, Determines the Tax Bill</w:t>
      </w:r>
    </w:p>
    <w:p>
      <w:pPr>
        <w:spacing w:after="140" w:line="276"/>
      </w:pPr>
      <w:r>
        <w:rPr>
          <w:rFonts w:ascii="Calibri" w:cs="Calibri" w:eastAsia="Calibri" w:hAnsi="Calibri"/>
          <w:sz w:val="21"/>
          <w:szCs w:val="21"/>
        </w:rPr>
        <w:t xml:space="preserve">An asset sale requires the purchase price to be assigned across the standard categories the IRS uses for this purpose — cash and cash-equivalents, securities, accounts receivable, inventory, tangible depreciable property, intangibles, and finally goodwill and going-concern value as a residual category. Gain attributable to inventory and to depreciation recapture on tangible property is generally ordinary income, while gain attributable to goodwill is generally capital gain, taxed at the more favorable long-term capital gains rate for a seller who has held the underlying business for more than a year. The same total sale price can produce a dramatically different tax bill for the seller depending purely on how that price is distributed across these categories.</w:t>
      </w:r>
    </w:p>
    <w:p>
      <w:pPr>
        <w:spacing w:after="140" w:line="276"/>
      </w:pPr>
      <w:r>
        <w:rPr>
          <w:rFonts w:ascii="Calibri" w:cs="Calibri" w:eastAsia="Calibri" w:hAnsi="Calibri"/>
          <w:sz w:val="21"/>
          <w:szCs w:val="21"/>
        </w:rPr>
        <w:t xml:space="preserve">The buyer and seller frequently have opposite preferences here, which is exactly why the allocation is negotiated rather than simply computed. A buyer generally prefers to allocate more of the price to categories that generate faster tax deductions going forward — inventory that will be sold quickly, or tangible and intangible assets with shorter depreciation or amortization periods — because that accelerates the buyer's own future write-offs. A seller, by contrast, generally prefers to push as much of the price as possible into goodwill, since that portion is taxed at capital-gain rates rather than as ordinary income. Both parties are legally required to file Form 8594 using the same allocation, so this is a negotiated term of the deal, not an afterthought handled separately by each side's accountant after closing.</w:t>
      </w:r>
    </w:p>
    <w:p>
      <w:pPr>
        <w:spacing w:after="140" w:line="276"/>
      </w:pPr>
      <w:r>
        <w:rPr>
          <w:rFonts w:ascii="Calibri" w:cs="Calibri" w:eastAsia="Calibri" w:hAnsi="Calibri"/>
          <w:sz w:val="21"/>
          <w:szCs w:val="21"/>
        </w:rPr>
        <w:t xml:space="preserve">Beyond changing the rate on the sale itself, the allocation can also determine whether other tax attributes on the seller's return are usable at all. A seller who is carrying capital losses or capital-loss carryforwards from other activities can only use them to offset capital gains (plus a small annual amount against ordinary income) — so if the sale proceeds are allocated overwhelmingly to ordinary-income categories rather than goodwill, those existing capital losses may go largely unused in the sale year, even though the seller has real economic losses sitting on the books that could otherwise have sheltered a meaningful slice of the gain.</w:t>
      </w:r>
    </w:p>
    <w:p>
      <w:pPr>
        <w:pStyle w:val="ListParagraph"/>
        <w:numPr>
          <w:ilvl w:val="0"/>
          <w:numId w:val="2"/>
        </w:numPr>
        <w:spacing w:after="60" w:line="276"/>
      </w:pPr>
      <w:r>
        <w:rPr>
          <w:rFonts w:ascii="Calibri" w:cs="Calibri" w:eastAsia="Calibri" w:hAnsi="Calibri"/>
          <w:sz w:val="21"/>
          <w:szCs w:val="21"/>
        </w:rPr>
        <w:t xml:space="preserve">Before signing a letter of intent or purchase agreement for an asset sale, model the tax outcome under a range of plausible allocations — not just the headline price — so the seller understands what is actually at stake in the allocation negotiation.</w:t>
      </w:r>
    </w:p>
    <w:p>
      <w:pPr>
        <w:pStyle w:val="ListParagraph"/>
        <w:numPr>
          <w:ilvl w:val="0"/>
          <w:numId w:val="2"/>
        </w:numPr>
        <w:spacing w:after="60" w:line="276"/>
      </w:pPr>
      <w:r>
        <w:rPr>
          <w:rFonts w:ascii="Calibri" w:cs="Calibri" w:eastAsia="Calibri" w:hAnsi="Calibri"/>
          <w:sz w:val="21"/>
          <w:szCs w:val="21"/>
        </w:rPr>
        <w:t xml:space="preserve">Push to negotiate the allocation explicitly as a term of the deal, ideally before the purchase agreement is finalized, rather than leaving it to be worked out separately after closing when each side's leverage to change it is much weaker.</w:t>
      </w:r>
    </w:p>
    <w:p>
      <w:pPr>
        <w:pStyle w:val="ListParagraph"/>
        <w:numPr>
          <w:ilvl w:val="0"/>
          <w:numId w:val="2"/>
        </w:numPr>
        <w:spacing w:after="60" w:line="276"/>
      </w:pPr>
      <w:r>
        <w:rPr>
          <w:rFonts w:ascii="Calibri" w:cs="Calibri" w:eastAsia="Calibri" w:hAnsi="Calibri"/>
          <w:sz w:val="21"/>
          <w:szCs w:val="21"/>
        </w:rPr>
        <w:t xml:space="preserve">If the seller is carrying capital losses or capital-loss carryforwards from unrelated activities, check whether the proposed allocation generates enough capital gain to actually absorb them — an allocation weighted toward ordinary-income categories can leave real losses unused in the sale year.</w:t>
      </w:r>
    </w:p>
    <w:p>
      <w:pPr>
        <w:pStyle w:val="ListParagraph"/>
        <w:numPr>
          <w:ilvl w:val="0"/>
          <w:numId w:val="2"/>
        </w:numPr>
        <w:spacing w:after="60" w:line="276"/>
      </w:pPr>
      <w:r>
        <w:rPr>
          <w:rFonts w:ascii="Calibri" w:cs="Calibri" w:eastAsia="Calibri" w:hAnsi="Calibri"/>
          <w:sz w:val="21"/>
          <w:szCs w:val="21"/>
        </w:rPr>
        <w:t xml:space="preserve">Confirm that both the buyer and seller intend to file Form 8594 using the identical allocation — a mismatch between the two returns is a straightforward audit flag for both parties.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the operating assets of the business for a lump-sum price. The buyer's initial draft purchase agreement allocates the large majority of the price to depreciable tangible assets and inventory, since that lets the buyer begin depreciating and expensing the purchase quickly. Because those categories are taxed as ordinary income to the seller, and the seller is separately carrying capital losses from an unrelated investment account, the initial allocation would tax most of the sale at ordinary rates while leaving the seller's capital losses largely unused. During negotiation, the seller pushes for a larger share of the price to be allocated to goodwill instead, which is taxed at capital-gain rates and allows the existing capital losses to offset a meaningful portion of the gain — materially lowering the seller's total tax on the transaction without changing the total sale price at all.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negotiation that is easy to lose by default — if a seller's advisor is not brought in before the purchase agreement is drafted, the allocation table can arrive already built around the buyer's preferences, at which point renegotiating it costs real leverage rather than being a simple ask.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101. Adopting a Retroactive Retirement Plan by the Extended Filing Deadline (SECURE 2.0)</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that reaches its tax filing deadline without having adopted a retirement plan has not necessarily lost the opportunity to generate a retirement-plan deduction for the year that just ended. A provision enacted as part of the SECURE 2.0 Act allows certain employer retirement plans to be adopted after the close of the tax year — as late as the extended due date of the business's tax return — and still be treated, for deduction purposes, as if the plan had been in effect on the last day of that prior year. This turns a retirement plan from something that must be decided and running before December 31 into a lever that can still be pulled well into the following year, as long as the business is on extension.</w:t>
      </w:r>
    </w:p>
    <w:p>
      <w:pPr>
        <w:pStyle w:val="Heading2"/>
        <w:spacing w:after="80" w:before="200"/>
      </w:pPr>
      <w:r>
        <w:rPr>
          <w:rFonts w:ascii="Calibri" w:cs="Calibri" w:eastAsia="Calibri" w:hAnsi="Calibri"/>
          <w:b/>
          <w:bCs/>
          <w:color w:val="2E5496"/>
          <w:sz w:val="24"/>
          <w:szCs w:val="24"/>
        </w:rPr>
        <w:t xml:space="preserve">How the Lookback Election Works</w:t>
      </w:r>
    </w:p>
    <w:p>
      <w:pPr>
        <w:spacing w:after="140" w:line="276"/>
      </w:pPr>
      <w:r>
        <w:rPr>
          <w:rFonts w:ascii="Calibri" w:cs="Calibri" w:eastAsia="Calibri" w:hAnsi="Calibri"/>
          <w:sz w:val="21"/>
          <w:szCs w:val="21"/>
        </w:rPr>
        <w:t xml:space="preserve">Under the traditional rule, an employer retirement plan generally had to be adopted by the last day of the tax year it was meant to cover in order to generate a deduction for that year — a business that decided in February that it wanted a retirement-plan deduction for the prior year was simply out of luck, because the plan did not exist during the year in question. The SECURE 2.0 provision changes this for certain types of employer plans by allowing the plan to be adopted after year-end, up through the extended due date of the employer's tax return, while still being treated as adopted on the last day of the prior tax year for purposes of the employer contribution deduction.</w:t>
      </w:r>
    </w:p>
    <w:p>
      <w:pPr>
        <w:spacing w:after="140" w:line="276"/>
      </w:pPr>
      <w:r>
        <w:rPr>
          <w:rFonts w:ascii="Calibri" w:cs="Calibri" w:eastAsia="Calibri" w:hAnsi="Calibri"/>
          <w:sz w:val="21"/>
          <w:szCs w:val="21"/>
        </w:rPr>
        <w:t xml:space="preserve">This effectively converts the year-end retirement-plan decision into a much later one, tied to the extension deadline rather than the calendar year-end — which is significant because a business often does not know its actual full-year profit, and therefore how large a retirement contribution makes sense, until well after December 31. A business that files on extension can wait until it has a clear final profit number, then decide how large a plan and contribution to establish, and still capture the deduction against the prior year's income.</w:t>
      </w:r>
    </w:p>
    <w:p>
      <w:pPr>
        <w:spacing w:after="140" w:line="276"/>
      </w:pPr>
      <w:r>
        <w:rPr>
          <w:rFonts w:ascii="Calibri" w:cs="Calibri" w:eastAsia="Calibri" w:hAnsi="Calibri"/>
          <w:sz w:val="21"/>
          <w:szCs w:val="21"/>
        </w:rPr>
        <w:t xml:space="preserve">This is a cash-flow-friendly lever precisely because the decision and the funding can be deferred to when the business has the most complete financial picture and the most certainty about available cash — rather than being forced to commit to a plan design and contribution amount in December based on incomplete year-end numbers. The tradeoff is that this retroactive adoption applies to certain employer contribution structures and not to every type of arrangement (a plan that depends on employee salary-deferral elections generally cannot be adopted retroactively for the deferral component, since the employee never had the opportunity to elect to defer wages that were already paid), so the specific plan design matters to whether the retroactive election is actually available.</w:t>
      </w:r>
    </w:p>
    <w:p>
      <w:pPr>
        <w:pStyle w:val="ListParagraph"/>
        <w:numPr>
          <w:ilvl w:val="0"/>
          <w:numId w:val="2"/>
        </w:numPr>
        <w:spacing w:after="60" w:line="276"/>
      </w:pPr>
      <w:r>
        <w:rPr>
          <w:rFonts w:ascii="Calibri" w:cs="Calibri" w:eastAsia="Calibri" w:hAnsi="Calibri"/>
          <w:sz w:val="21"/>
          <w:szCs w:val="21"/>
        </w:rPr>
        <w:t xml:space="preserve">Do not assume a missed December 31 retirement-plan deadline forecloses a deduction for that year — check whether the plan type under consideration qualifies for the SECURE 2.0 retroactive-adoption election before ruling it out.</w:t>
      </w:r>
    </w:p>
    <w:p>
      <w:pPr>
        <w:pStyle w:val="ListParagraph"/>
        <w:numPr>
          <w:ilvl w:val="0"/>
          <w:numId w:val="2"/>
        </w:numPr>
        <w:spacing w:after="60" w:line="276"/>
      </w:pPr>
      <w:r>
        <w:rPr>
          <w:rFonts w:ascii="Calibri" w:cs="Calibri" w:eastAsia="Calibri" w:hAnsi="Calibri"/>
          <w:sz w:val="21"/>
          <w:szCs w:val="21"/>
        </w:rPr>
        <w:t xml:space="preserve">File an extension if a retroactive plan adoption is being considered, since the adoption window runs to the extended due date of the return, not the original unextended deadline.</w:t>
      </w:r>
    </w:p>
    <w:p>
      <w:pPr>
        <w:pStyle w:val="ListParagraph"/>
        <w:numPr>
          <w:ilvl w:val="0"/>
          <w:numId w:val="2"/>
        </w:numPr>
        <w:spacing w:after="60" w:line="276"/>
      </w:pPr>
      <w:r>
        <w:rPr>
          <w:rFonts w:ascii="Calibri" w:cs="Calibri" w:eastAsia="Calibri" w:hAnsi="Calibri"/>
          <w:sz w:val="21"/>
          <w:szCs w:val="21"/>
        </w:rPr>
        <w:t xml:space="preserve">Wait until full-year profit is reasonably certain before finalizing the plan design and contribution amount — the entire value of this lever is being able to decide with better information than was available at year-end.</w:t>
      </w:r>
    </w:p>
    <w:p>
      <w:pPr>
        <w:pStyle w:val="ListParagraph"/>
        <w:numPr>
          <w:ilvl w:val="0"/>
          <w:numId w:val="2"/>
        </w:numPr>
        <w:spacing w:after="60" w:line="276"/>
      </w:pPr>
      <w:r>
        <w:rPr>
          <w:rFonts w:ascii="Calibri" w:cs="Calibri" w:eastAsia="Calibri" w:hAnsi="Calibri"/>
          <w:sz w:val="21"/>
          <w:szCs w:val="21"/>
        </w:rPr>
        <w:t xml:space="preserve">Confirm the specific plan type under consideration is one that permits retroactive employer-contribution adoption — arrangements built around employee salary deferrals generally do not allow the deferral portion to be added after the fact, only the employer-contribution portion.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business closes out its fiscal year with no retirement plan in place, having been too consumed with operations during the year to evaluate one. Because the business files its return on extension, it uses the months after year-end — once full-year profit is finalized — to evaluate and adopt an employer-funded retirement plan, sized to the actual profit figure now known rather than a year-end estimate. Because the plan is adopted before the extended due date of the return, it is treated as if it had been in place on the last day of the prior tax year, and the employer contribution generates a deduction against that year's income even though the plan itself did not exist during the year it is deducted against.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upside of this election is real, but it is also easy to let the window quietly close — because the deadline is tied to the extension rather than to year-end, a business that is not specifically tracking it can simply let the extended due date pass without ever revisiting the decision.</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2026-09-05T21:54:16.152Z</dcterms:created>
  <dcterms:modified xsi:type="dcterms:W3CDTF">2026-09-05T21:54:16.152Z</dcterms:modified>
</cp:coreProperties>
</file>

<file path=docProps/custom.xml><?xml version="1.0" encoding="utf-8"?>
<Properties xmlns="http://schemas.openxmlformats.org/officeDocument/2006/custom-properties" xmlns:vt="http://schemas.openxmlformats.org/officeDocument/2006/docPropsVTypes"/>
</file>