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87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residency and domicile rules (vary by state)</w:t>
      </w:r>
    </w:p>
    <w:p>
      <w:pPr>
        <w:pStyle w:val="ListParagraph"/>
        <w:numPr>
          <w:ilvl w:val="0"/>
          <w:numId w:val="2"/>
        </w:numPr>
        <w:spacing w:after="60" w:line="276"/>
      </w:pPr>
      <w:r>
        <w:rPr>
          <w:rFonts w:ascii="Calibri" w:cs="Calibri" w:eastAsia="Calibri" w:hAnsi="Calibri"/>
          <w:sz w:val="21"/>
          <w:szCs w:val="21"/>
        </w:rPr>
        <w:t xml:space="preserve">State conformity to federal capital-gains treatment (varies by state)</w:t>
      </w:r>
    </w:p>
    <w:p>
      <w:pPr>
        <w:spacing w:after="120"/>
      </w:pP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6654(d)(2) — annualized income installment method</w:t>
      </w:r>
    </w:p>
    <w:p>
      <w:pPr>
        <w:pStyle w:val="ListParagraph"/>
        <w:numPr>
          <w:ilvl w:val="0"/>
          <w:numId w:val="2"/>
        </w:numPr>
        <w:spacing w:after="60" w:line="276"/>
      </w:pPr>
      <w:r>
        <w:rPr>
          <w:rFonts w:ascii="Calibri" w:cs="Calibri" w:eastAsia="Calibri" w:hAnsi="Calibri"/>
          <w:sz w:val="21"/>
          <w:szCs w:val="21"/>
        </w:rPr>
        <w:t xml:space="preserve">IRS Form 2210, Schedule AI — annualized income installment worksheet</w:t>
      </w:r>
    </w:p>
    <w:p>
      <w:pPr>
        <w:spacing w:after="120"/>
      </w:pP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31(b) — credit for excess Social Security tax withheld</w:t>
      </w:r>
    </w:p>
    <w:p>
      <w:pPr>
        <w:pStyle w:val="ListParagraph"/>
        <w:numPr>
          <w:ilvl w:val="0"/>
          <w:numId w:val="2"/>
        </w:numPr>
        <w:spacing w:after="60" w:line="276"/>
      </w:pPr>
      <w:r>
        <w:rPr>
          <w:rFonts w:ascii="Calibri" w:cs="Calibri" w:eastAsia="Calibri" w:hAnsi="Calibri"/>
          <w:sz w:val="21"/>
          <w:szCs w:val="21"/>
        </w:rPr>
        <w:t xml:space="preserve">IRS Schedule 3 (Form 1040) — excess Social Security and RRTA tax withheld</w:t>
      </w:r>
    </w:p>
    <w:p>
      <w:pPr>
        <w:spacing w:after="120"/>
      </w:pP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1.199A-5(c)(1) — the 10% de minimis rule for incidental SSTB activity</w:t>
      </w:r>
    </w:p>
    <w:p>
      <w:pPr>
        <w:pStyle w:val="ListParagraph"/>
        <w:numPr>
          <w:ilvl w:val="0"/>
          <w:numId w:val="2"/>
        </w:numPr>
        <w:spacing w:after="60" w:line="276"/>
      </w:pPr>
      <w:r>
        <w:rPr>
          <w:rFonts w:ascii="Calibri" w:cs="Calibri" w:eastAsia="Calibri" w:hAnsi="Calibri"/>
          <w:sz w:val="21"/>
          <w:szCs w:val="21"/>
        </w:rPr>
        <w:t xml:space="preserve">Treas. Reg. § 1.199A-5(c)(2) — anti-abuse rule for businesses providing property or services to a related SSTB</w:t>
      </w:r>
    </w:p>
    <w:p>
      <w:pPr>
        <w:spacing w:after="120"/>
      </w:pP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2026-09-05T11:34:32.000Z</dcterms:created>
  <dcterms:modified xsi:type="dcterms:W3CDTF">2026-09-05T11:34:32.000Z</dcterms:modified>
</cp:coreProperties>
</file>

<file path=docProps/custom.xml><?xml version="1.0" encoding="utf-8"?>
<Properties xmlns="http://schemas.openxmlformats.org/officeDocument/2006/custom-properties" xmlns:vt="http://schemas.openxmlformats.org/officeDocument/2006/docPropsVTypes"/>
</file>