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84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401(k)(12) and (13) — safe harbor 401(k) plans</w:t>
      </w:r>
    </w:p>
    <w:p>
      <w:pPr>
        <w:pStyle w:val="ListParagraph"/>
        <w:numPr>
          <w:ilvl w:val="0"/>
          <w:numId w:val="2"/>
        </w:numPr>
        <w:spacing w:after="60" w:line="276"/>
      </w:pPr>
      <w:r>
        <w:rPr>
          <w:rFonts w:ascii="Calibri" w:cs="Calibri" w:eastAsia="Calibri" w:hAnsi="Calibri"/>
          <w:sz w:val="21"/>
          <w:szCs w:val="21"/>
        </w:rPr>
        <w:t xml:space="preserve">IRC § 401(a)(4) — nondiscrimination requirements and cross-testing</w:t>
      </w:r>
    </w:p>
    <w:p>
      <w:pPr>
        <w:pStyle w:val="ListParagraph"/>
        <w:numPr>
          <w:ilvl w:val="0"/>
          <w:numId w:val="2"/>
        </w:numPr>
        <w:spacing w:after="60" w:line="276"/>
      </w:pPr>
      <w:r>
        <w:rPr>
          <w:rFonts w:ascii="Calibri" w:cs="Calibri" w:eastAsia="Calibri" w:hAnsi="Calibri"/>
          <w:sz w:val="21"/>
          <w:szCs w:val="21"/>
        </w:rPr>
        <w:t xml:space="preserve">Treas. Reg. § 1.401(a)(4)-8 — cross-testing rules for defined contribution plans</w:t>
      </w:r>
    </w:p>
    <w:p>
      <w:pPr>
        <w:spacing w:after="120"/>
      </w:pP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45E — small employer pension plan startup cost credit</w:t>
      </w:r>
    </w:p>
    <w:p>
      <w:pPr>
        <w:pStyle w:val="ListParagraph"/>
        <w:numPr>
          <w:ilvl w:val="0"/>
          <w:numId w:val="2"/>
        </w:numPr>
        <w:spacing w:after="60" w:line="276"/>
      </w:pPr>
      <w:r>
        <w:rPr>
          <w:rFonts w:ascii="Calibri" w:cs="Calibri" w:eastAsia="Calibri" w:hAnsi="Calibri"/>
          <w:sz w:val="21"/>
          <w:szCs w:val="21"/>
        </w:rPr>
        <w:t xml:space="preserve">IRC § 45T — auto-enrollment credit</w:t>
      </w:r>
    </w:p>
    <w:p>
      <w:pPr>
        <w:pStyle w:val="ListParagraph"/>
        <w:numPr>
          <w:ilvl w:val="0"/>
          <w:numId w:val="2"/>
        </w:numPr>
        <w:spacing w:after="60" w:line="276"/>
      </w:pPr>
      <w:r>
        <w:rPr>
          <w:rFonts w:ascii="Calibri" w:cs="Calibri" w:eastAsia="Calibri" w:hAnsi="Calibri"/>
          <w:sz w:val="21"/>
          <w:szCs w:val="21"/>
        </w:rPr>
        <w:t xml:space="preserve">IRS Form 8881 — credit for small employer pension plan startup costs</w:t>
      </w:r>
    </w:p>
    <w:p>
      <w:pPr>
        <w:spacing w:after="120"/>
      </w:pP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Rev. Proc. 2013-30 — simplified late-election relief for S corporations</w:t>
      </w:r>
    </w:p>
    <w:p>
      <w:pPr>
        <w:pStyle w:val="ListParagraph"/>
        <w:numPr>
          <w:ilvl w:val="0"/>
          <w:numId w:val="2"/>
        </w:numPr>
        <w:spacing w:after="60" w:line="276"/>
      </w:pPr>
      <w:r>
        <w:rPr>
          <w:rFonts w:ascii="Calibri" w:cs="Calibri" w:eastAsia="Calibri" w:hAnsi="Calibri"/>
          <w:sz w:val="21"/>
          <w:szCs w:val="21"/>
        </w:rPr>
        <w:t xml:space="preserve">IRC § 1362 — election, revocation, and termination of S-corporation status</w:t>
      </w:r>
    </w:p>
    <w:p>
      <w:pPr>
        <w:pStyle w:val="ListParagraph"/>
        <w:numPr>
          <w:ilvl w:val="0"/>
          <w:numId w:val="2"/>
        </w:numPr>
        <w:spacing w:after="60" w:line="276"/>
      </w:pPr>
      <w:r>
        <w:rPr>
          <w:rFonts w:ascii="Calibri" w:cs="Calibri" w:eastAsia="Calibri" w:hAnsi="Calibri"/>
          <w:sz w:val="21"/>
          <w:szCs w:val="21"/>
        </w:rPr>
        <w:t xml:space="preserve">IRS Form 2553 — election by a small business corporation</w:t>
      </w:r>
    </w:p>
    <w:p>
      <w:pPr>
        <w:spacing w:after="120"/>
      </w:pP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30D — clean vehicle credit</w:t>
      </w:r>
    </w:p>
    <w:p>
      <w:pPr>
        <w:pStyle w:val="ListParagraph"/>
        <w:numPr>
          <w:ilvl w:val="0"/>
          <w:numId w:val="2"/>
        </w:numPr>
        <w:spacing w:after="60" w:line="276"/>
      </w:pPr>
      <w:r>
        <w:rPr>
          <w:rFonts w:ascii="Calibri" w:cs="Calibri" w:eastAsia="Calibri" w:hAnsi="Calibri"/>
          <w:sz w:val="21"/>
          <w:szCs w:val="21"/>
        </w:rPr>
        <w:t xml:space="preserve">IRC § 45W — qualified commercial clean vehicle credit</w:t>
      </w:r>
    </w:p>
    <w:p>
      <w:pPr>
        <w:pStyle w:val="ListParagraph"/>
        <w:numPr>
          <w:ilvl w:val="0"/>
          <w:numId w:val="2"/>
        </w:numPr>
        <w:spacing w:after="60" w:line="276"/>
      </w:pPr>
      <w:r>
        <w:rPr>
          <w:rFonts w:ascii="Calibri" w:cs="Calibri" w:eastAsia="Calibri" w:hAnsi="Calibri"/>
          <w:sz w:val="21"/>
          <w:szCs w:val="21"/>
        </w:rPr>
        <w:t xml:space="preserve">IRS Form 8936 — clean vehicle credits</w:t>
      </w:r>
    </w:p>
    <w:p>
      <w:pPr>
        <w:spacing w:after="120"/>
      </w:pP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conformity statutes for bonus depreciation and § 179 (varies by state)</w:t>
      </w:r>
    </w:p>
    <w:p>
      <w:pPr>
        <w:pStyle w:val="ListParagraph"/>
        <w:numPr>
          <w:ilvl w:val="0"/>
          <w:numId w:val="2"/>
        </w:numPr>
        <w:spacing w:after="60" w:line="276"/>
      </w:pPr>
      <w:r>
        <w:rPr>
          <w:rFonts w:ascii="Calibri" w:cs="Calibri" w:eastAsia="Calibri" w:hAnsi="Calibri"/>
          <w:sz w:val="21"/>
          <w:szCs w:val="21"/>
        </w:rPr>
        <w:t xml:space="preserve">IRC § 168(k) — additional first-year depreciation deduction</w:t>
      </w:r>
    </w:p>
    <w:p>
      <w:pPr>
        <w:spacing w:after="120"/>
      </w:pP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1374 — tax imposed on certain built-in gains</w:t>
      </w:r>
    </w:p>
    <w:p>
      <w:pPr>
        <w:pStyle w:val="ListParagraph"/>
        <w:numPr>
          <w:ilvl w:val="0"/>
          <w:numId w:val="2"/>
        </w:numPr>
        <w:spacing w:after="60" w:line="276"/>
      </w:pPr>
      <w:r>
        <w:rPr>
          <w:rFonts w:ascii="Calibri" w:cs="Calibri" w:eastAsia="Calibri" w:hAnsi="Calibri"/>
          <w:sz w:val="21"/>
          <w:szCs w:val="21"/>
        </w:rPr>
        <w:t xml:space="preserve">Treas. Reg. § 1.1374-1 through -10</w:t>
      </w:r>
    </w:p>
    <w:p>
      <w:pPr>
        <w:spacing w:after="120"/>
      </w:pP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302 — distributions in redemption of stock</w:t>
      </w:r>
    </w:p>
    <w:p>
      <w:pPr>
        <w:pStyle w:val="ListParagraph"/>
        <w:numPr>
          <w:ilvl w:val="0"/>
          <w:numId w:val="2"/>
        </w:numPr>
        <w:spacing w:after="60" w:line="276"/>
      </w:pPr>
      <w:r>
        <w:rPr>
          <w:rFonts w:ascii="Calibri" w:cs="Calibri" w:eastAsia="Calibri" w:hAnsi="Calibri"/>
          <w:sz w:val="21"/>
          <w:szCs w:val="21"/>
        </w:rPr>
        <w:t xml:space="preserve">IRC § 302(b)(3) — complete termination of a shareholder's interest</w:t>
      </w:r>
    </w:p>
    <w:p>
      <w:pPr>
        <w:pStyle w:val="ListParagraph"/>
        <w:numPr>
          <w:ilvl w:val="0"/>
          <w:numId w:val="2"/>
        </w:numPr>
        <w:spacing w:after="60" w:line="276"/>
      </w:pPr>
      <w:r>
        <w:rPr>
          <w:rFonts w:ascii="Calibri" w:cs="Calibri" w:eastAsia="Calibri" w:hAnsi="Calibri"/>
          <w:sz w:val="21"/>
          <w:szCs w:val="21"/>
        </w:rPr>
        <w:t xml:space="preserve">IRC § 318 — constructive ownership of stock (attribution rules)</w:t>
      </w:r>
    </w:p>
    <w:p>
      <w:pPr>
        <w:spacing w:after="120"/>
      </w:pP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530A (Trump Accounts, as enacted) — tax-favored savings accounts for minors</w:t>
      </w:r>
    </w:p>
    <w:p>
      <w:pPr>
        <w:pStyle w:val="ListParagraph"/>
        <w:numPr>
          <w:ilvl w:val="0"/>
          <w:numId w:val="2"/>
        </w:numPr>
        <w:spacing w:after="60" w:line="276"/>
      </w:pPr>
      <w:r>
        <w:rPr>
          <w:rFonts w:ascii="Calibri" w:cs="Calibri" w:eastAsia="Calibri" w:hAnsi="Calibri"/>
          <w:sz w:val="21"/>
          <w:szCs w:val="21"/>
        </w:rPr>
        <w:t xml:space="preserve">IRS Form 4547 and related guidance for Trump Account elections</w:t>
      </w:r>
    </w:p>
    <w:p>
      <w:pPr>
        <w:spacing w:after="120"/>
      </w:pP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44 — expenditures to provide access to disabled individuals</w:t>
      </w:r>
    </w:p>
    <w:p>
      <w:pPr>
        <w:pStyle w:val="ListParagraph"/>
        <w:numPr>
          <w:ilvl w:val="0"/>
          <w:numId w:val="2"/>
        </w:numPr>
        <w:spacing w:after="60" w:line="276"/>
      </w:pPr>
      <w:r>
        <w:rPr>
          <w:rFonts w:ascii="Calibri" w:cs="Calibri" w:eastAsia="Calibri" w:hAnsi="Calibri"/>
          <w:sz w:val="21"/>
          <w:szCs w:val="21"/>
        </w:rPr>
        <w:t xml:space="preserve">IRS Form 8826 — disabled access credit</w:t>
      </w:r>
    </w:p>
    <w:p>
      <w:pPr>
        <w:spacing w:after="120"/>
      </w:pP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3121(b)(3)(A) — FICA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3306(c)(5) — FUTA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1(g) — the "kiddie tax" on unearned income</w:t>
      </w:r>
    </w:p>
    <w:p>
      <w:pPr>
        <w:spacing w:after="120"/>
      </w:pP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1.263(a)-1(f) — de minimis safe harbor election</w:t>
      </w:r>
    </w:p>
    <w:p>
      <w:pPr>
        <w:pStyle w:val="ListParagraph"/>
        <w:numPr>
          <w:ilvl w:val="0"/>
          <w:numId w:val="2"/>
        </w:numPr>
        <w:spacing w:after="60" w:line="276"/>
      </w:pPr>
      <w:r>
        <w:rPr>
          <w:rFonts w:ascii="Calibri" w:cs="Calibri" w:eastAsia="Calibri" w:hAnsi="Calibri"/>
          <w:sz w:val="21"/>
          <w:szCs w:val="21"/>
        </w:rPr>
        <w:t xml:space="preserve">IRC § 263(a) — capital expenditures</w:t>
      </w:r>
    </w:p>
    <w:p>
      <w:pPr>
        <w:spacing w:after="120"/>
      </w:pP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529A — qualified ABLE programs</w:t>
      </w:r>
    </w:p>
    <w:p>
      <w:pPr>
        <w:pStyle w:val="ListParagraph"/>
        <w:numPr>
          <w:ilvl w:val="0"/>
          <w:numId w:val="2"/>
        </w:numPr>
        <w:spacing w:after="60" w:line="276"/>
      </w:pPr>
      <w:r>
        <w:rPr>
          <w:rFonts w:ascii="Calibri" w:cs="Calibri" w:eastAsia="Calibri" w:hAnsi="Calibri"/>
          <w:sz w:val="21"/>
          <w:szCs w:val="21"/>
        </w:rPr>
        <w:t xml:space="preserve">IRS Publication 907 — tax highlights for persons with disabilities</w:t>
      </w:r>
    </w:p>
    <w:p>
      <w:pPr>
        <w:spacing w:after="120"/>
      </w:pP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residency and domicile rules (vary by state)</w:t>
      </w:r>
    </w:p>
    <w:p>
      <w:pPr>
        <w:pStyle w:val="ListParagraph"/>
        <w:numPr>
          <w:ilvl w:val="0"/>
          <w:numId w:val="2"/>
        </w:numPr>
        <w:spacing w:after="60" w:line="276"/>
      </w:pPr>
      <w:r>
        <w:rPr>
          <w:rFonts w:ascii="Calibri" w:cs="Calibri" w:eastAsia="Calibri" w:hAnsi="Calibri"/>
          <w:sz w:val="21"/>
          <w:szCs w:val="21"/>
        </w:rPr>
        <w:t xml:space="preserve">State conformity to federal capital-gains treatment (varies by state)</w:t>
      </w:r>
    </w:p>
    <w:p>
      <w:pPr>
        <w:spacing w:after="120"/>
      </w:pP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2026-09-05T11:28:53.368Z</dcterms:created>
  <dcterms:modified xsi:type="dcterms:W3CDTF">2026-09-05T11:28:53.369Z</dcterms:modified>
</cp:coreProperties>
</file>

<file path=docProps/custom.xml><?xml version="1.0" encoding="utf-8"?>
<Properties xmlns="http://schemas.openxmlformats.org/officeDocument/2006/custom-properties" xmlns:vt="http://schemas.openxmlformats.org/officeDocument/2006/docPropsVTypes"/>
</file>