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99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pPr>
        <w:pStyle w:val="Heading2"/>
        <w:spacing w:after="80" w:before="200"/>
      </w:pPr>
      <w:r>
        <w:rPr>
          <w:rFonts w:ascii="Calibri" w:cs="Calibri" w:eastAsia="Calibri" w:hAnsi="Calibri"/>
          <w:b/>
          <w:bCs/>
          <w:color w:val="2E5496"/>
          <w:sz w:val="24"/>
          <w:szCs w:val="24"/>
        </w:rPr>
        <w:t xml:space="preserve">Real Estate &amp; Property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S-Corporation Strategy</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resident-credit statutes for taxes paid to other states (varies by state)</w:t>
      </w:r>
    </w:p>
    <w:p>
      <w:pPr>
        <w:pStyle w:val="ListParagraph"/>
        <w:numPr>
          <w:ilvl w:val="0"/>
          <w:numId w:val="2"/>
        </w:numPr>
        <w:spacing w:after="60" w:line="276"/>
      </w:pPr>
      <w:r>
        <w:rPr>
          <w:rFonts w:ascii="Calibri" w:cs="Calibri" w:eastAsia="Calibri" w:hAnsi="Calibri"/>
          <w:sz w:val="21"/>
          <w:szCs w:val="21"/>
        </w:rPr>
        <w:t xml:space="preserve">Multistate Tax Compact and reciprocity agreements (where applicable)</w:t>
      </w:r>
    </w:p>
    <w:p>
      <w:pPr>
        <w:spacing w:after="120"/>
      </w:pP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7872 — treatment of loans with below-market interest rates</w:t>
      </w:r>
    </w:p>
    <w:p>
      <w:pPr>
        <w:pStyle w:val="ListParagraph"/>
        <w:numPr>
          <w:ilvl w:val="0"/>
          <w:numId w:val="2"/>
        </w:numPr>
        <w:spacing w:after="60" w:line="276"/>
      </w:pPr>
      <w:r>
        <w:rPr>
          <w:rFonts w:ascii="Calibri" w:cs="Calibri" w:eastAsia="Calibri" w:hAnsi="Calibri"/>
          <w:sz w:val="21"/>
          <w:szCs w:val="21"/>
        </w:rPr>
        <w:t xml:space="preserve">IRS Applicable Federal Rates (AFR), published monthly</w:t>
      </w:r>
    </w:p>
    <w:p>
      <w:pPr>
        <w:spacing w:after="120"/>
      </w:pP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&amp; Property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 — losses, expenses, and interest with respect to transactions between related taxpayers</w:t>
      </w:r>
    </w:p>
    <w:p>
      <w:pPr>
        <w:pStyle w:val="ListParagraph"/>
        <w:numPr>
          <w:ilvl w:val="0"/>
          <w:numId w:val="2"/>
        </w:numPr>
        <w:spacing w:after="60" w:line="276"/>
      </w:pPr>
      <w:r>
        <w:rPr>
          <w:rFonts w:ascii="Calibri" w:cs="Calibri" w:eastAsia="Calibri" w:hAnsi="Calibri"/>
          <w:sz w:val="21"/>
          <w:szCs w:val="21"/>
        </w:rPr>
        <w:t xml:space="preserve">IRC § 168(k) — bonus depreciation eligibility requirements (the "acquired from an unrelated party" test)</w:t>
      </w:r>
    </w:p>
    <w:p>
      <w:pPr>
        <w:pStyle w:val="ListParagraph"/>
        <w:numPr>
          <w:ilvl w:val="0"/>
          <w:numId w:val="2"/>
        </w:numPr>
        <w:spacing w:after="60" w:line="276"/>
      </w:pPr>
      <w:r>
        <w:rPr>
          <w:rFonts w:ascii="Calibri" w:cs="Calibri" w:eastAsia="Calibri" w:hAnsi="Calibri"/>
          <w:sz w:val="21"/>
          <w:szCs w:val="21"/>
        </w:rPr>
        <w:t xml:space="preserve">IRC § 179 — election to expense certain depreciable business assets</w:t>
      </w:r>
    </w:p>
    <w:p>
      <w:pPr>
        <w:spacing w:after="120"/>
      </w:pP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Strategy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1366 and § 1372 — S corporation shareholder compensation treatment</w:t>
      </w:r>
    </w:p>
    <w:p>
      <w:pPr>
        <w:pStyle w:val="ListParagraph"/>
        <w:numPr>
          <w:ilvl w:val="0"/>
          <w:numId w:val="2"/>
        </w:numPr>
        <w:spacing w:after="60" w:line="276"/>
      </w:pPr>
      <w:r>
        <w:rPr>
          <w:rFonts w:ascii="Calibri" w:cs="Calibri" w:eastAsia="Calibri" w:hAnsi="Calibri"/>
          <w:sz w:val="21"/>
          <w:szCs w:val="21"/>
        </w:rPr>
        <w:t xml:space="preserve">IRS reasonable compensation guidance for S corporation officers</w:t>
      </w:r>
    </w:p>
    <w:p>
      <w:pPr>
        <w:pStyle w:val="ListParagraph"/>
        <w:numPr>
          <w:ilvl w:val="0"/>
          <w:numId w:val="2"/>
        </w:numPr>
        <w:spacing w:after="60" w:line="276"/>
      </w:pPr>
      <w:r>
        <w:rPr>
          <w:rFonts w:ascii="Calibri" w:cs="Calibri" w:eastAsia="Calibri" w:hAnsi="Calibri"/>
          <w:sz w:val="21"/>
          <w:szCs w:val="21"/>
        </w:rPr>
        <w:t xml:space="preserve">IRC § 1401 — self-employment tax</w:t>
      </w:r>
    </w:p>
    <w:p>
      <w:pPr>
        <w:spacing w:after="120"/>
      </w:pP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 limitation on exclusion for elective deferrals</w:t>
      </w:r>
    </w:p>
    <w:p>
      <w:pPr>
        <w:pStyle w:val="ListParagraph"/>
        <w:numPr>
          <w:ilvl w:val="0"/>
          <w:numId w:val="2"/>
        </w:numPr>
        <w:spacing w:after="60" w:line="276"/>
      </w:pPr>
      <w:r>
        <w:rPr>
          <w:rFonts w:ascii="Calibri" w:cs="Calibri" w:eastAsia="Calibri" w:hAnsi="Calibri"/>
          <w:sz w:val="21"/>
          <w:szCs w:val="21"/>
        </w:rPr>
        <w:t xml:space="preserve">IRS annual retirement plan contribution limit notices</w:t>
      </w:r>
    </w:p>
    <w:p>
      <w:pPr>
        <w:spacing w:after="120"/>
      </w:pP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2026-09-05T14:01:58.838Z</dcterms:created>
  <dcterms:modified xsi:type="dcterms:W3CDTF">2026-09-05T14:01:58.851Z</dcterms:modified>
</cp:coreProperties>
</file>

<file path=docProps/custom.xml><?xml version="1.0" encoding="utf-8"?>
<Properties xmlns="http://schemas.openxmlformats.org/officeDocument/2006/custom-properties" xmlns:vt="http://schemas.openxmlformats.org/officeDocument/2006/docPropsVTypes"/>
</file>