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31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3121(d) — definition of employee</w:t>
      </w:r>
    </w:p>
    <w:p>
      <w:pPr>
        <w:pStyle w:val="ListParagraph"/>
        <w:numPr>
          <w:ilvl w:val="0"/>
          <w:numId w:val="2"/>
        </w:numPr>
        <w:spacing w:after="60" w:line="276"/>
      </w:pPr>
      <w:r>
        <w:rPr>
          <w:rFonts w:ascii="Calibri" w:cs="Calibri" w:eastAsia="Calibri" w:hAnsi="Calibri"/>
          <w:sz w:val="21"/>
          <w:szCs w:val="21"/>
        </w:rPr>
        <w:t xml:space="preserve">IRS Fact Sheet FS-2008-25, Wage Compensation for S Corporation Officers</w:t>
      </w:r>
    </w:p>
    <w:p>
      <w:pPr>
        <w:pStyle w:val="ListParagraph"/>
        <w:numPr>
          <w:ilvl w:val="0"/>
          <w:numId w:val="2"/>
        </w:numPr>
        <w:spacing w:after="60" w:line="276"/>
      </w:pPr>
      <w:r>
        <w:rPr>
          <w:rFonts w:ascii="Calibri" w:cs="Calibri" w:eastAsia="Calibri" w:hAnsi="Calibri"/>
          <w:sz w:val="21"/>
          <w:szCs w:val="21"/>
        </w:rPr>
        <w:t xml:space="preserve">Rev. Rul. 74-44</w:t>
      </w:r>
    </w:p>
    <w:p>
      <w:pPr>
        <w:spacing w:after="120"/>
      </w:pP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401(a) and § 412 — qualified plan and defined-benefit funding rules</w:t>
      </w:r>
    </w:p>
    <w:p>
      <w:pPr>
        <w:pStyle w:val="ListParagraph"/>
        <w:numPr>
          <w:ilvl w:val="0"/>
          <w:numId w:val="2"/>
        </w:numPr>
        <w:spacing w:after="60" w:line="276"/>
      </w:pPr>
      <w:r>
        <w:rPr>
          <w:rFonts w:ascii="Calibri" w:cs="Calibri" w:eastAsia="Calibri" w:hAnsi="Calibri"/>
          <w:sz w:val="21"/>
          <w:szCs w:val="21"/>
        </w:rPr>
        <w:t xml:space="preserve">SECURE 2.0 Act § 45E — small-employer retirement-plan startup credit</w:t>
      </w:r>
    </w:p>
    <w:p>
      <w:pPr>
        <w:pStyle w:val="ListParagraph"/>
        <w:numPr>
          <w:ilvl w:val="0"/>
          <w:numId w:val="2"/>
        </w:numPr>
        <w:spacing w:after="60" w:line="276"/>
      </w:pPr>
      <w:r>
        <w:rPr>
          <w:rFonts w:ascii="Calibri" w:cs="Calibri" w:eastAsia="Calibri" w:hAnsi="Calibri"/>
          <w:sz w:val="21"/>
          <w:szCs w:val="21"/>
        </w:rPr>
        <w:t xml:space="preserve">IRS Publication 560, Retirement Plans for Small Business</w:t>
      </w:r>
    </w:p>
    <w:p>
      <w:pPr>
        <w:spacing w:after="120"/>
      </w:pP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469 — passive activity loss rules and grouping elections</w:t>
      </w:r>
    </w:p>
    <w:p>
      <w:pPr>
        <w:pStyle w:val="ListParagraph"/>
        <w:numPr>
          <w:ilvl w:val="0"/>
          <w:numId w:val="2"/>
        </w:numPr>
        <w:spacing w:after="60" w:line="276"/>
      </w:pPr>
      <w:r>
        <w:rPr>
          <w:rFonts w:ascii="Calibri" w:cs="Calibri" w:eastAsia="Calibri" w:hAnsi="Calibri"/>
          <w:sz w:val="21"/>
          <w:szCs w:val="21"/>
        </w:rPr>
        <w:t xml:space="preserve">IRC § 1245 / § 1250 — depreciation recapture</w:t>
      </w:r>
    </w:p>
    <w:p>
      <w:pPr>
        <w:pStyle w:val="ListParagraph"/>
        <w:numPr>
          <w:ilvl w:val="0"/>
          <w:numId w:val="2"/>
        </w:numPr>
        <w:spacing w:after="60" w:line="276"/>
      </w:pPr>
      <w:r>
        <w:rPr>
          <w:rFonts w:ascii="Calibri" w:cs="Calibri" w:eastAsia="Calibri" w:hAnsi="Calibri"/>
          <w:sz w:val="21"/>
          <w:szCs w:val="21"/>
        </w:rPr>
        <w:t xml:space="preserve">Treas. Reg. § 1.469-4 — grouping of activities</w:t>
      </w:r>
    </w:p>
    <w:p>
      <w:pPr>
        <w:spacing w:after="120"/>
      </w:pP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263(a) — capitalization of amounts paid to acquire or improve tangible property</w:t>
      </w:r>
    </w:p>
    <w:p>
      <w:pPr>
        <w:pStyle w:val="ListParagraph"/>
        <w:numPr>
          <w:ilvl w:val="0"/>
          <w:numId w:val="2"/>
        </w:numPr>
        <w:spacing w:after="60" w:line="276"/>
      </w:pPr>
      <w:r>
        <w:rPr>
          <w:rFonts w:ascii="Calibri" w:cs="Calibri" w:eastAsia="Calibri" w:hAnsi="Calibri"/>
          <w:sz w:val="21"/>
          <w:szCs w:val="21"/>
        </w:rPr>
        <w:t xml:space="preserve">Treas. Reg. § 1.263(a)-1 through -3 — tangible property ("repair") regulations</w:t>
      </w:r>
    </w:p>
    <w:p>
      <w:pPr>
        <w:pStyle w:val="ListParagraph"/>
        <w:numPr>
          <w:ilvl w:val="0"/>
          <w:numId w:val="2"/>
        </w:numPr>
        <w:spacing w:after="60" w:line="276"/>
      </w:pPr>
      <w:r>
        <w:rPr>
          <w:rFonts w:ascii="Calibri" w:cs="Calibri" w:eastAsia="Calibri" w:hAnsi="Calibri"/>
          <w:sz w:val="21"/>
          <w:szCs w:val="21"/>
        </w:rPr>
        <w:t xml:space="preserve">Form 3115, Application for Change in Accounting Method</w:t>
      </w:r>
    </w:p>
    <w:p>
      <w:pPr>
        <w:spacing w:after="120"/>
      </w:pP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 — disallowance of certain expenses in connection with business use of home</w:t>
      </w:r>
    </w:p>
    <w:p>
      <w:pPr>
        <w:pStyle w:val="ListParagraph"/>
        <w:numPr>
          <w:ilvl w:val="0"/>
          <w:numId w:val="2"/>
        </w:numPr>
        <w:spacing w:after="60" w:line="276"/>
      </w:pPr>
      <w:r>
        <w:rPr>
          <w:rFonts w:ascii="Calibri" w:cs="Calibri" w:eastAsia="Calibri" w:hAnsi="Calibri"/>
          <w:sz w:val="21"/>
          <w:szCs w:val="21"/>
        </w:rPr>
        <w:t xml:space="preserve">Rev. Proc. 2013-13 — simplified home-office deduction method</w:t>
      </w:r>
    </w:p>
    <w:p>
      <w:pPr>
        <w:pStyle w:val="ListParagraph"/>
        <w:numPr>
          <w:ilvl w:val="0"/>
          <w:numId w:val="2"/>
        </w:numPr>
        <w:spacing w:after="60" w:line="276"/>
      </w:pPr>
      <w:r>
        <w:rPr>
          <w:rFonts w:ascii="Calibri" w:cs="Calibri" w:eastAsia="Calibri" w:hAnsi="Calibri"/>
          <w:sz w:val="21"/>
          <w:szCs w:val="21"/>
        </w:rPr>
        <w:t xml:space="preserve">Treas. Reg. § 1.62-2 — accountable plans</w:t>
      </w:r>
    </w:p>
    <w:p>
      <w:pPr>
        <w:spacing w:after="120"/>
      </w:pP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280A(g) — rental of a dwelling unit used as a residence for fewer than 15 days</w:t>
      </w:r>
    </w:p>
    <w:p>
      <w:pPr>
        <w:spacing w:after="120"/>
      </w:pP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State pass-through entity tax statutes (availability and mechanics vary by state)</w:t>
      </w:r>
    </w:p>
    <w:p>
      <w:pPr>
        <w:pStyle w:val="ListParagraph"/>
        <w:numPr>
          <w:ilvl w:val="0"/>
          <w:numId w:val="2"/>
        </w:numPr>
        <w:spacing w:after="60" w:line="276"/>
      </w:pPr>
      <w:r>
        <w:rPr>
          <w:rFonts w:ascii="Calibri" w:cs="Calibri" w:eastAsia="Calibri" w:hAnsi="Calibri"/>
          <w:sz w:val="21"/>
          <w:szCs w:val="21"/>
        </w:rPr>
        <w:t xml:space="preserve">IRC § 164 — deduction for taxes; the $10,000 SALT cap for individuals</w:t>
      </w:r>
    </w:p>
    <w:p>
      <w:pPr>
        <w:pStyle w:val="ListParagraph"/>
        <w:numPr>
          <w:ilvl w:val="0"/>
          <w:numId w:val="2"/>
        </w:numPr>
        <w:spacing w:after="60" w:line="276"/>
      </w:pPr>
      <w:r>
        <w:rPr>
          <w:rFonts w:ascii="Calibri" w:cs="Calibri" w:eastAsia="Calibri" w:hAnsi="Calibri"/>
          <w:sz w:val="21"/>
          <w:szCs w:val="21"/>
        </w:rPr>
        <w:t xml:space="preserve">IRS Notice 2020-75 — federal deductibility of entity-level PTET payments</w:t>
      </w:r>
    </w:p>
    <w:p>
      <w:pPr>
        <w:spacing w:after="120"/>
      </w:pP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1361(b)(3) — qualified subchapter S subsidiary election</w:t>
      </w:r>
    </w:p>
    <w:p>
      <w:pPr>
        <w:pStyle w:val="ListParagraph"/>
        <w:numPr>
          <w:ilvl w:val="0"/>
          <w:numId w:val="2"/>
        </w:numPr>
        <w:spacing w:after="60" w:line="276"/>
      </w:pPr>
      <w:r>
        <w:rPr>
          <w:rFonts w:ascii="Calibri" w:cs="Calibri" w:eastAsia="Calibri" w:hAnsi="Calibri"/>
          <w:sz w:val="21"/>
          <w:szCs w:val="21"/>
        </w:rPr>
        <w:t xml:space="preserve">IRC § 1361–1362 — S corporation eligibility and election requirements</w:t>
      </w:r>
    </w:p>
    <w:p>
      <w:pPr>
        <w:spacing w:after="120"/>
      </w:pP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pStyle w:val="ListParagraph"/>
        <w:numPr>
          <w:ilvl w:val="0"/>
          <w:numId w:val="2"/>
        </w:numPr>
        <w:spacing w:after="60" w:line="276"/>
      </w:pPr>
      <w:r>
        <w:rPr>
          <w:rFonts w:ascii="Calibri" w:cs="Calibri" w:eastAsia="Calibri" w:hAnsi="Calibri"/>
          <w:sz w:val="21"/>
          <w:szCs w:val="21"/>
        </w:rPr>
        <w:t xml:space="preserve">Schedule D and Form 8949 — reporting capital gains and losses</w:t>
      </w:r>
    </w:p>
    <w:p>
      <w:pPr>
        <w:spacing w:after="120"/>
      </w:pP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Form 8821, Tax Information Authorization</w:t>
      </w:r>
    </w:p>
    <w:p>
      <w:pPr>
        <w:pStyle w:val="ListParagraph"/>
        <w:numPr>
          <w:ilvl w:val="0"/>
          <w:numId w:val="2"/>
        </w:numPr>
        <w:spacing w:after="60" w:line="276"/>
      </w:pPr>
      <w:r>
        <w:rPr>
          <w:rFonts w:ascii="Calibri" w:cs="Calibri" w:eastAsia="Calibri" w:hAnsi="Calibri"/>
          <w:sz w:val="21"/>
          <w:szCs w:val="21"/>
        </w:rPr>
        <w:t xml:space="preserve">Form 2848, Power of Attorney and Declaration of Representative</w:t>
      </w:r>
    </w:p>
    <w:p>
      <w:pPr>
        <w:pStyle w:val="ListParagraph"/>
        <w:numPr>
          <w:ilvl w:val="0"/>
          <w:numId w:val="2"/>
        </w:numPr>
        <w:spacing w:after="60" w:line="276"/>
      </w:pPr>
      <w:r>
        <w:rPr>
          <w:rFonts w:ascii="Calibri" w:cs="Calibri" w:eastAsia="Calibri" w:hAnsi="Calibri"/>
          <w:sz w:val="21"/>
          <w:szCs w:val="21"/>
        </w:rPr>
        <w:t xml:space="preserve">IRS Account Transcripts and Wage &amp; Income Transcripts (available via IRS e-Services or by request)</w:t>
      </w:r>
    </w:p>
    <w:p>
      <w:pPr>
        <w:spacing w:after="120"/>
      </w:pP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1402(a) and § 1402(a)(13) — self-employment income and the limited-partner exception</w:t>
      </w:r>
    </w:p>
    <w:p>
      <w:pPr>
        <w:pStyle w:val="ListParagraph"/>
        <w:numPr>
          <w:ilvl w:val="0"/>
          <w:numId w:val="2"/>
        </w:numPr>
        <w:spacing w:after="60" w:line="276"/>
      </w:pPr>
      <w:r>
        <w:rPr>
          <w:rFonts w:ascii="Calibri" w:cs="Calibri" w:eastAsia="Calibri" w:hAnsi="Calibri"/>
          <w:sz w:val="21"/>
          <w:szCs w:val="21"/>
        </w:rPr>
        <w:t xml:space="preserve">Renkemeyer, Campbell &amp; Weaver LLP v. Comm’r, 136 T.C. 137 (2011)</w:t>
      </w:r>
    </w:p>
    <w:p>
      <w:pPr>
        <w:pStyle w:val="ListParagraph"/>
        <w:numPr>
          <w:ilvl w:val="0"/>
          <w:numId w:val="2"/>
        </w:numPr>
        <w:spacing w:after="60" w:line="276"/>
      </w:pPr>
      <w:r>
        <w:rPr>
          <w:rFonts w:ascii="Calibri" w:cs="Calibri" w:eastAsia="Calibri" w:hAnsi="Calibri"/>
          <w:sz w:val="21"/>
          <w:szCs w:val="21"/>
        </w:rPr>
        <w:t xml:space="preserve">Soroban Capital Partners LP v. Comm’r, 161 T.C. No. 12 (2023)</w:t>
      </w:r>
    </w:p>
    <w:p>
      <w:pPr>
        <w:spacing w:after="120"/>
      </w:pP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61 — gross income defined</w:t>
      </w:r>
    </w:p>
    <w:p>
      <w:pPr>
        <w:pStyle w:val="ListParagraph"/>
        <w:numPr>
          <w:ilvl w:val="0"/>
          <w:numId w:val="2"/>
        </w:numPr>
        <w:spacing w:after="60" w:line="276"/>
      </w:pPr>
      <w:r>
        <w:rPr>
          <w:rFonts w:ascii="Calibri" w:cs="Calibri" w:eastAsia="Calibri" w:hAnsi="Calibri"/>
          <w:sz w:val="21"/>
          <w:szCs w:val="21"/>
        </w:rPr>
        <w:t xml:space="preserve">North American Oil Consolidated v. Burnet, 286 U.S. 417 (1932)</w:t>
      </w:r>
    </w:p>
    <w:p>
      <w:pPr>
        <w:pStyle w:val="ListParagraph"/>
        <w:numPr>
          <w:ilvl w:val="0"/>
          <w:numId w:val="2"/>
        </w:numPr>
        <w:spacing w:after="60" w:line="276"/>
      </w:pPr>
      <w:r>
        <w:rPr>
          <w:rFonts w:ascii="Calibri" w:cs="Calibri" w:eastAsia="Calibri" w:hAnsi="Calibri"/>
          <w:sz w:val="21"/>
          <w:szCs w:val="21"/>
        </w:rPr>
        <w:t xml:space="preserve">Comm’r v. First Security Bank of Utah, 405 U.S. 394 (1972)</w:t>
      </w:r>
    </w:p>
    <w:p>
      <w:pPr>
        <w:spacing w:after="120"/>
      </w:pP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482 — allocation of income and deductions among taxpayers</w:t>
      </w:r>
    </w:p>
    <w:p>
      <w:pPr>
        <w:pStyle w:val="ListParagraph"/>
        <w:numPr>
          <w:ilvl w:val="0"/>
          <w:numId w:val="2"/>
        </w:numPr>
        <w:spacing w:after="60" w:line="276"/>
      </w:pPr>
      <w:r>
        <w:rPr>
          <w:rFonts w:ascii="Calibri" w:cs="Calibri" w:eastAsia="Calibri" w:hAnsi="Calibri"/>
          <w:sz w:val="21"/>
          <w:szCs w:val="21"/>
        </w:rPr>
        <w:t xml:space="preserve">Treas. Reg. § 1.482-1 — general transfer-pricing principles</w:t>
      </w:r>
    </w:p>
    <w:p>
      <w:pPr>
        <w:spacing w:after="120"/>
      </w:pP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6654 and § 6654(g) — underpayment of estimated tax</w:t>
      </w:r>
    </w:p>
    <w:p>
      <w:pPr>
        <w:pStyle w:val="ListParagraph"/>
        <w:numPr>
          <w:ilvl w:val="0"/>
          <w:numId w:val="2"/>
        </w:numPr>
        <w:spacing w:after="60" w:line="276"/>
      </w:pPr>
      <w:r>
        <w:rPr>
          <w:rFonts w:ascii="Calibri" w:cs="Calibri" w:eastAsia="Calibri" w:hAnsi="Calibri"/>
          <w:sz w:val="21"/>
          <w:szCs w:val="21"/>
        </w:rPr>
        <w:t xml:space="preserve">IRC § 31(a) — withholding treated as paid ratably throughout the year</w:t>
      </w:r>
    </w:p>
    <w:p>
      <w:pPr>
        <w:spacing w:after="120"/>
      </w:pP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162, § 280F, and § 274(d) — trade or business expenses, luxury-vehicle limits, and substantiation</w:t>
      </w:r>
    </w:p>
    <w:p>
      <w:pPr>
        <w:pStyle w:val="ListParagraph"/>
        <w:numPr>
          <w:ilvl w:val="0"/>
          <w:numId w:val="2"/>
        </w:numPr>
        <w:spacing w:after="60" w:line="276"/>
      </w:pPr>
      <w:r>
        <w:rPr>
          <w:rFonts w:ascii="Calibri" w:cs="Calibri" w:eastAsia="Calibri" w:hAnsi="Calibri"/>
          <w:sz w:val="21"/>
          <w:szCs w:val="21"/>
        </w:rPr>
        <w:t xml:space="preserve">Treas. Reg. § 1.274-5 — substantiation requirements</w:t>
      </w:r>
    </w:p>
    <w:p>
      <w:pPr>
        <w:pStyle w:val="ListParagraph"/>
        <w:numPr>
          <w:ilvl w:val="0"/>
          <w:numId w:val="2"/>
        </w:numPr>
        <w:spacing w:after="60" w:line="276"/>
      </w:pPr>
      <w:r>
        <w:rPr>
          <w:rFonts w:ascii="Calibri" w:cs="Calibri" w:eastAsia="Calibri" w:hAnsi="Calibri"/>
          <w:sz w:val="21"/>
          <w:szCs w:val="21"/>
        </w:rPr>
        <w:t xml:space="preserve">Treas. Reg. § 1.61-21 — personal-use fringe benefit valuation</w:t>
      </w:r>
    </w:p>
    <w:p>
      <w:pPr>
        <w:spacing w:after="120"/>
      </w:pP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731(a)(1) and § 705 — distributions and basis</w:t>
      </w:r>
    </w:p>
    <w:p>
      <w:pPr>
        <w:pStyle w:val="ListParagraph"/>
        <w:numPr>
          <w:ilvl w:val="0"/>
          <w:numId w:val="2"/>
        </w:numPr>
        <w:spacing w:after="60" w:line="276"/>
      </w:pPr>
      <w:r>
        <w:rPr>
          <w:rFonts w:ascii="Calibri" w:cs="Calibri" w:eastAsia="Calibri" w:hAnsi="Calibri"/>
          <w:sz w:val="21"/>
          <w:szCs w:val="21"/>
        </w:rPr>
        <w:t xml:space="preserve">Treas. Reg. § 1.731-1</w:t>
      </w:r>
    </w:p>
    <w:p>
      <w:pPr>
        <w:spacing w:after="120"/>
      </w:pP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1361 and § 1362 — S corporation eligibility and election</w:t>
      </w:r>
    </w:p>
    <w:p>
      <w:pPr>
        <w:pStyle w:val="ListParagraph"/>
        <w:numPr>
          <w:ilvl w:val="0"/>
          <w:numId w:val="2"/>
        </w:numPr>
        <w:spacing w:after="60" w:line="276"/>
      </w:pPr>
      <w:r>
        <w:rPr>
          <w:rFonts w:ascii="Calibri" w:cs="Calibri" w:eastAsia="Calibri" w:hAnsi="Calibri"/>
          <w:sz w:val="21"/>
          <w:szCs w:val="21"/>
        </w:rPr>
        <w:t xml:space="preserve">Rev. Proc. 2013-30 — relief for a late S election</w:t>
      </w:r>
    </w:p>
    <w:p>
      <w:pPr>
        <w:spacing w:after="120"/>
      </w:pP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83 and § 83(b) — property transferred in connection with services</w:t>
      </w:r>
    </w:p>
    <w:p>
      <w:pPr>
        <w:pStyle w:val="ListParagraph"/>
        <w:numPr>
          <w:ilvl w:val="0"/>
          <w:numId w:val="2"/>
        </w:numPr>
        <w:spacing w:after="60" w:line="276"/>
      </w:pPr>
      <w:r>
        <w:rPr>
          <w:rFonts w:ascii="Calibri" w:cs="Calibri" w:eastAsia="Calibri" w:hAnsi="Calibri"/>
          <w:sz w:val="21"/>
          <w:szCs w:val="21"/>
        </w:rPr>
        <w:t xml:space="preserve">Treas. Reg. § 1.83-2 — the § 83(b) election</w:t>
      </w:r>
    </w:p>
    <w:p>
      <w:pPr>
        <w:spacing w:after="120"/>
      </w:pP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1202 — exclusion of gain from certain small business stock</w:t>
      </w:r>
    </w:p>
    <w:p>
      <w:pPr>
        <w:spacing w:after="120"/>
      </w:pP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170 — charitable contribution deduction</w:t>
      </w:r>
    </w:p>
    <w:p>
      <w:pPr>
        <w:pStyle w:val="ListParagraph"/>
        <w:numPr>
          <w:ilvl w:val="0"/>
          <w:numId w:val="2"/>
        </w:numPr>
        <w:spacing w:after="60" w:line="276"/>
      </w:pPr>
      <w:r>
        <w:rPr>
          <w:rFonts w:ascii="Calibri" w:cs="Calibri" w:eastAsia="Calibri" w:hAnsi="Calibri"/>
          <w:sz w:val="21"/>
          <w:szCs w:val="21"/>
        </w:rPr>
        <w:t xml:space="preserve">IRS Publication 561 — determining the value of donated property</w:t>
      </w:r>
    </w:p>
    <w:p>
      <w:pPr>
        <w:spacing w:after="120"/>
      </w:pP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408 and § 408A — traditional and Roth IRAs</w:t>
      </w:r>
    </w:p>
    <w:p>
      <w:pPr>
        <w:pStyle w:val="ListParagraph"/>
        <w:numPr>
          <w:ilvl w:val="0"/>
          <w:numId w:val="2"/>
        </w:numPr>
        <w:spacing w:after="60" w:line="276"/>
      </w:pPr>
      <w:r>
        <w:rPr>
          <w:rFonts w:ascii="Calibri" w:cs="Calibri" w:eastAsia="Calibri" w:hAnsi="Calibri"/>
          <w:sz w:val="21"/>
          <w:szCs w:val="21"/>
        </w:rPr>
        <w:t xml:space="preserve">IRC § 408(d)(2) — the pro-rata rule for nondeductible IRA distributions</w:t>
      </w:r>
    </w:p>
    <w:p>
      <w:pPr>
        <w:spacing w:after="120"/>
      </w:pP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402(g) and § 415(c) — elective deferral and overall annual-additions limits</w:t>
      </w:r>
    </w:p>
    <w:p>
      <w:pPr>
        <w:pStyle w:val="ListParagraph"/>
        <w:numPr>
          <w:ilvl w:val="0"/>
          <w:numId w:val="2"/>
        </w:numPr>
        <w:spacing w:after="60" w:line="276"/>
      </w:pPr>
      <w:r>
        <w:rPr>
          <w:rFonts w:ascii="Calibri" w:cs="Calibri" w:eastAsia="Calibri" w:hAnsi="Calibri"/>
          <w:sz w:val="21"/>
          <w:szCs w:val="21"/>
        </w:rPr>
        <w:t xml:space="preserve">IRC § 402A — designated Roth contributions</w:t>
      </w:r>
    </w:p>
    <w:p>
      <w:pPr>
        <w:spacing w:after="120"/>
      </w:pP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529 — qualified tuition programs</w:t>
      </w:r>
    </w:p>
    <w:p>
      <w:pPr>
        <w:pStyle w:val="ListParagraph"/>
        <w:numPr>
          <w:ilvl w:val="0"/>
          <w:numId w:val="2"/>
        </w:numPr>
        <w:spacing w:after="60" w:line="276"/>
      </w:pPr>
      <w:r>
        <w:rPr>
          <w:rFonts w:ascii="Calibri" w:cs="Calibri" w:eastAsia="Calibri" w:hAnsi="Calibri"/>
          <w:sz w:val="21"/>
          <w:szCs w:val="21"/>
        </w:rPr>
        <w:t xml:space="preserve">IRC § 529(c)(2)(B) — the five-year forward gift-tax averaging election</w:t>
      </w:r>
    </w:p>
    <w:p>
      <w:pPr>
        <w:pStyle w:val="ListParagraph"/>
        <w:numPr>
          <w:ilvl w:val="0"/>
          <w:numId w:val="2"/>
        </w:numPr>
        <w:spacing w:after="60" w:line="276"/>
      </w:pPr>
      <w:r>
        <w:rPr>
          <w:rFonts w:ascii="Calibri" w:cs="Calibri" w:eastAsia="Calibri" w:hAnsi="Calibri"/>
          <w:sz w:val="21"/>
          <w:szCs w:val="21"/>
        </w:rPr>
        <w:t xml:space="preserve">Form 709, United States Gift Tax Return</w:t>
      </w:r>
    </w:p>
    <w:p>
      <w:pPr>
        <w:spacing w:after="120"/>
      </w:pP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Treas. Reg. § 1.469-1T(e)(3)(ii)(A) — activities involving average customer use of seven days or less</w:t>
      </w:r>
    </w:p>
    <w:p>
      <w:pPr>
        <w:pStyle w:val="ListParagraph"/>
        <w:numPr>
          <w:ilvl w:val="0"/>
          <w:numId w:val="2"/>
        </w:numPr>
        <w:spacing w:after="60" w:line="276"/>
      </w:pPr>
      <w:r>
        <w:rPr>
          <w:rFonts w:ascii="Calibri" w:cs="Calibri" w:eastAsia="Calibri" w:hAnsi="Calibri"/>
          <w:sz w:val="21"/>
          <w:szCs w:val="21"/>
        </w:rPr>
        <w:t xml:space="preserve">Treas. Reg. § 1.469-5T — material participation standards</w:t>
      </w:r>
    </w:p>
    <w:p>
      <w:pPr>
        <w:pStyle w:val="ListParagraph"/>
        <w:numPr>
          <w:ilvl w:val="0"/>
          <w:numId w:val="2"/>
        </w:numPr>
        <w:spacing w:after="60" w:line="276"/>
      </w:pPr>
      <w:r>
        <w:rPr>
          <w:rFonts w:ascii="Calibri" w:cs="Calibri" w:eastAsia="Calibri" w:hAnsi="Calibri"/>
          <w:sz w:val="21"/>
          <w:szCs w:val="21"/>
        </w:rPr>
        <w:t xml:space="preserve">IRC § 469 — passive activity losses</w:t>
      </w:r>
    </w:p>
    <w:p>
      <w:pPr>
        <w:spacing w:after="120"/>
      </w:pP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752(b), § 741, § 1001 — amount realized and liability relief on a partnership-interest sale</w:t>
      </w:r>
    </w:p>
    <w:p>
      <w:pPr>
        <w:pStyle w:val="ListParagraph"/>
        <w:numPr>
          <w:ilvl w:val="0"/>
          <w:numId w:val="2"/>
        </w:numPr>
        <w:spacing w:after="60" w:line="276"/>
      </w:pPr>
      <w:r>
        <w:rPr>
          <w:rFonts w:ascii="Calibri" w:cs="Calibri" w:eastAsia="Calibri" w:hAnsi="Calibri"/>
          <w:sz w:val="21"/>
          <w:szCs w:val="21"/>
        </w:rPr>
        <w:t xml:space="preserve">IRC § 469(g) — suspended passive losses freed on a fully taxable disposition</w:t>
      </w:r>
    </w:p>
    <w:p>
      <w:pPr>
        <w:pStyle w:val="ListParagraph"/>
        <w:numPr>
          <w:ilvl w:val="0"/>
          <w:numId w:val="2"/>
        </w:numPr>
        <w:spacing w:after="60" w:line="276"/>
      </w:pPr>
      <w:r>
        <w:rPr>
          <w:rFonts w:ascii="Calibri" w:cs="Calibri" w:eastAsia="Calibri" w:hAnsi="Calibri"/>
          <w:sz w:val="21"/>
          <w:szCs w:val="21"/>
        </w:rPr>
        <w:t xml:space="preserve">IRC § 751(a) — ordinary-income treatment of unrealized receivables and inventory</w:t>
      </w:r>
    </w:p>
    <w:p>
      <w:pPr>
        <w:spacing w:after="120"/>
      </w:pP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1400Z-2 — special rules for capital gains invested in qualified opportunity zones</w:t>
      </w:r>
    </w:p>
    <w:p>
      <w:pPr>
        <w:pStyle w:val="ListParagraph"/>
        <w:numPr>
          <w:ilvl w:val="0"/>
          <w:numId w:val="2"/>
        </w:numPr>
        <w:spacing w:after="60" w:line="276"/>
      </w:pPr>
      <w:r>
        <w:rPr>
          <w:rFonts w:ascii="Calibri" w:cs="Calibri" w:eastAsia="Calibri" w:hAnsi="Calibri"/>
          <w:sz w:val="21"/>
          <w:szCs w:val="21"/>
        </w:rPr>
        <w:t xml:space="preserve">Form 8949 and Form 8997 — deferral election and annual qualified opportunity fund reporting</w:t>
      </w:r>
    </w:p>
    <w:p>
      <w:pPr>
        <w:spacing w:after="120"/>
      </w:pP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1091 — the wash-sale rule</w:t>
      </w:r>
    </w:p>
    <w:p>
      <w:pPr>
        <w:pStyle w:val="ListParagraph"/>
        <w:numPr>
          <w:ilvl w:val="0"/>
          <w:numId w:val="2"/>
        </w:numPr>
        <w:spacing w:after="60" w:line="276"/>
      </w:pPr>
      <w:r>
        <w:rPr>
          <w:rFonts w:ascii="Calibri" w:cs="Calibri" w:eastAsia="Calibri" w:hAnsi="Calibri"/>
          <w:sz w:val="21"/>
          <w:szCs w:val="21"/>
        </w:rPr>
        <w:t xml:space="preserve">IRC § 1211–1212 — capital loss limitations and carryforwards</w:t>
      </w:r>
    </w:p>
    <w:p>
      <w:pPr>
        <w:spacing w:after="120"/>
      </w:pP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Policy Statement 5-133 (Internal Revenue Manual 1.2.1.6.18) — delinquent return enforcement policy</w:t>
      </w:r>
    </w:p>
    <w:p>
      <w:pPr>
        <w:pStyle w:val="ListParagraph"/>
        <w:numPr>
          <w:ilvl w:val="0"/>
          <w:numId w:val="2"/>
        </w:numPr>
        <w:spacing w:after="60" w:line="276"/>
      </w:pPr>
      <w:r>
        <w:rPr>
          <w:rFonts w:ascii="Calibri" w:cs="Calibri" w:eastAsia="Calibri" w:hAnsi="Calibri"/>
          <w:sz w:val="21"/>
          <w:szCs w:val="21"/>
        </w:rPr>
        <w:t xml:space="preserve">IRC § 6501(e) — extended assessment period for a substantial understatement of income</w:t>
      </w:r>
    </w:p>
    <w:p>
      <w:pPr>
        <w:spacing w:after="120"/>
      </w:pP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IRS Letter 1687C — notice of a payment the IRS could not apply</w:t>
      </w:r>
    </w:p>
    <w:p>
      <w:pPr>
        <w:pStyle w:val="ListParagraph"/>
        <w:numPr>
          <w:ilvl w:val="0"/>
          <w:numId w:val="2"/>
        </w:numPr>
        <w:spacing w:after="60" w:line="276"/>
      </w:pPr>
      <w:r>
        <w:rPr>
          <w:rFonts w:ascii="Calibri" w:cs="Calibri" w:eastAsia="Calibri" w:hAnsi="Calibri"/>
          <w:sz w:val="21"/>
          <w:szCs w:val="21"/>
        </w:rPr>
        <w:t xml:space="preserve">Internal Revenue Manual 21.5 — account resolution procedures</w:t>
      </w:r>
    </w:p>
    <w:p>
      <w:pPr>
        <w:spacing w:after="120"/>
      </w:pP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6651 — failure-to-file and failure-to-pay penalties</w:t>
      </w:r>
    </w:p>
    <w:p>
      <w:pPr>
        <w:pStyle w:val="ListParagraph"/>
        <w:numPr>
          <w:ilvl w:val="0"/>
          <w:numId w:val="2"/>
        </w:numPr>
        <w:spacing w:after="60" w:line="276"/>
      </w:pPr>
      <w:r>
        <w:rPr>
          <w:rFonts w:ascii="Calibri" w:cs="Calibri" w:eastAsia="Calibri" w:hAnsi="Calibri"/>
          <w:sz w:val="21"/>
          <w:szCs w:val="21"/>
        </w:rPr>
        <w:t xml:space="preserve">IRS first-time abatement administrative policy</w:t>
      </w:r>
    </w:p>
    <w:p>
      <w:pPr>
        <w:pStyle w:val="ListParagraph"/>
        <w:numPr>
          <w:ilvl w:val="0"/>
          <w:numId w:val="2"/>
        </w:numPr>
        <w:spacing w:after="60" w:line="276"/>
      </w:pPr>
      <w:r>
        <w:rPr>
          <w:rFonts w:ascii="Calibri" w:cs="Calibri" w:eastAsia="Calibri" w:hAnsi="Calibri"/>
          <w:sz w:val="21"/>
          <w:szCs w:val="21"/>
        </w:rPr>
        <w:t xml:space="preserve">IRC § 6656 — failure-to-deposit penalty (payroll taxes)</w:t>
      </w:r>
    </w:p>
    <w:p>
      <w:pPr>
        <w:spacing w:after="120"/>
      </w:pP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80"/>
      </w:pPr>
      <w:r>
        <w:rPr>
          <w:rFonts w:ascii="Calibri" w:cs="Calibri" w:eastAsia="Calibri" w:hAnsi="Calibri"/>
          <w:b/>
          <w:bCs/>
          <w:sz w:val="21"/>
          <w:szCs w:val="21"/>
        </w:rPr>
        <w:t xml:space="preserve">Key Tax Code References:</w:t>
      </w:r>
    </w:p>
    <w:p>
      <w:pPr>
        <w:pStyle w:val="ListParagraph"/>
        <w:numPr>
          <w:ilvl w:val="0"/>
          <w:numId w:val="2"/>
        </w:numPr>
        <w:spacing w:after="60" w:line="276"/>
      </w:pPr>
      <w:r>
        <w:rPr>
          <w:rFonts w:ascii="Calibri" w:cs="Calibri" w:eastAsia="Calibri" w:hAnsi="Calibri"/>
          <w:sz w:val="21"/>
          <w:szCs w:val="21"/>
        </w:rPr>
        <w:t xml:space="preserve">IRC § 6672 — failure to collect and pay over tax (the Trust Fund Recovery Penalty)</w:t>
      </w:r>
    </w:p>
    <w:p>
      <w:pPr>
        <w:pStyle w:val="ListParagraph"/>
        <w:numPr>
          <w:ilvl w:val="0"/>
          <w:numId w:val="2"/>
        </w:numPr>
        <w:spacing w:after="60" w:line="276"/>
      </w:pPr>
      <w:r>
        <w:rPr>
          <w:rFonts w:ascii="Calibri" w:cs="Calibri" w:eastAsia="Calibri" w:hAnsi="Calibri"/>
          <w:sz w:val="21"/>
          <w:szCs w:val="21"/>
        </w:rPr>
        <w:t xml:space="preserve">IRS Form 4180 — report used in TFRP interviews</w:t>
      </w:r>
    </w:p>
    <w:p>
      <w:pPr>
        <w:spacing w:after="120"/>
      </w:pP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2026-08-30T19:55:00.970Z</dcterms:created>
  <dcterms:modified xsi:type="dcterms:W3CDTF">2026-08-30T19:55:00.971Z</dcterms:modified>
</cp:coreProperties>
</file>

<file path=docProps/custom.xml><?xml version="1.0" encoding="utf-8"?>
<Properties xmlns="http://schemas.openxmlformats.org/officeDocument/2006/custom-properties" xmlns:vt="http://schemas.openxmlformats.org/officeDocument/2006/docPropsVTypes"/>
</file>