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3A8A"/>
            <w:tcMar>
              <w:top w:w="180" w:type="dxa"/>
              <w:bottom w:w="180" w:type="dxa"/>
              <w:left w:w="200" w:type="dxa"/>
              <w:right w:w="200" w:type="dxa"/>
            </w:tcMar>
          </w:tcPr>
          <w:p>
            <w:pPr>
              <w:spacing w:after="80"/>
              <w:jc w:val="center"/>
            </w:pPr>
            <w:r>
              <w:rPr>
                <w:b/>
                <w:color w:val="FFFFFF"/>
                <w:sz w:val="24"/>
              </w:rPr>
              <w:t>LAPORAN TAHAPAN KEGIATAN 5</w:t>
              <w:br/>
            </w:r>
            <w:r>
              <w:rPr>
                <w:b/>
                <w:color w:val="FFFFFF"/>
                <w:sz w:val="28"/>
              </w:rPr>
              <w:t>MELAKUKAN KONSULTASI DAN PENYEMPURNAN HASIL SIMPONITAS</w:t>
              <w:br/>
            </w:r>
            <w:r>
              <w:rPr>
                <w:i/>
                <w:color w:val="E2E8F0"/>
                <w:sz w:val="20"/>
              </w:rPr>
              <w:t>Aplikasi SIMPONITAS — BPS Kabupaten Pasaman</w:t>
              <w:br/>
              <w:t>Notula Konsultasi Mentor/Stakeholder, Matriks Perubahan, dan Finalisasi Aplikasi</w:t>
            </w:r>
          </w:p>
        </w:tc>
      </w:tr>
    </w:tbl>
    <w:p/>
    <w:p>
      <w:pPr>
        <w:keepNext/>
        <w:spacing w:before="280" w:after="80"/>
      </w:pPr>
      <w:r>
        <w:rPr>
          <w:rFonts w:ascii="Calibri" w:hAnsi="Calibri"/>
          <w:b/>
          <w:color w:val="1E3A8A"/>
          <w:sz w:val="28"/>
        </w:rPr>
        <w:t>1. Pendahuluan dan Pelaksanaan Konsultasi</w:t>
      </w:r>
    </w:p>
    <w:p>
      <w:r>
        <w:t>Tahapan Kegiatan 5 merupakan proses krusial dalam siklus pengembangan aplikasi SIMPONITAS. Pada tahapan ini, dilakukan serangkaian konsultasi intensif bersama Mentor BPS Kabupaten Pasaman dan perwakilan Organisasi Perangkat Daerah (OPD) untuk mendemonstrasikan prototipe aplikasi, mendapatkan masukan konstruktif, serta melakukan penyempurnaan akhir pada fitur dan antarmuka aplikasi.</w:t>
      </w:r>
    </w:p>
    <w:p>
      <w:pPr>
        <w:keepNext/>
        <w:spacing w:before="280" w:after="80"/>
      </w:pPr>
      <w:r>
        <w:rPr>
          <w:rFonts w:ascii="Calibri" w:hAnsi="Calibri"/>
          <w:b/>
          <w:color w:val="1E3A8A"/>
          <w:sz w:val="28"/>
        </w:rPr>
        <w:t>2. Notula dan Matriks Perubahan Hasil Konsultasi</w:t>
      </w:r>
    </w:p>
    <w:p>
      <w:r>
        <w:t>Berdasarkan hasil sesi konsultasi dan evaluasi bersama, terdapat 4 poin utama masukan perbaikan yang telah diakomodasi dan diimplementasikan secara penuh ke dalam aplikasi SIMPONITAS:</w:t>
      </w:r>
    </w:p>
    <w:tbl>
      <w:tblPr>
        <w:tblW w:type="auto" w:w="0"/>
        <w:jc w:val="center"/>
        <w:tblLook w:firstColumn="1" w:firstRow="1" w:lastColumn="0" w:lastRow="0" w:noHBand="0" w:noVBand="1" w:val="04A0"/>
      </w:tblPr>
      <w:tblGrid>
        <w:gridCol w:w="2340"/>
        <w:gridCol w:w="2340"/>
        <w:gridCol w:w="2340"/>
        <w:gridCol w:w="2340"/>
      </w:tblGrid>
      <w:tr>
        <w:tc>
          <w:tcPr>
            <w:tcW w:type="dxa" w:w="720"/>
            <w:shd w:fill="1E3A8A"/>
            <w:tcMar>
              <w:top w:w="100" w:type="dxa"/>
              <w:bottom w:w="100" w:type="dxa"/>
              <w:left w:w="100" w:type="dxa"/>
              <w:right w:w="100" w:type="dxa"/>
            </w:tcMar>
          </w:tcPr>
          <w:p>
            <w:pPr>
              <w:jc w:val="center"/>
            </w:pPr>
            <w:r>
              <w:rPr>
                <w:b/>
                <w:color w:val="FFFFFF"/>
                <w:sz w:val="19"/>
              </w:rPr>
              <w:t>No</w:t>
            </w:r>
          </w:p>
        </w:tc>
        <w:tc>
          <w:tcPr>
            <w:tcW w:type="dxa" w:w="2160"/>
            <w:shd w:fill="1E3A8A"/>
            <w:tcMar>
              <w:top w:w="100" w:type="dxa"/>
              <w:bottom w:w="100" w:type="dxa"/>
              <w:left w:w="100" w:type="dxa"/>
              <w:right w:w="100" w:type="dxa"/>
            </w:tcMar>
          </w:tcPr>
          <w:p>
            <w:pPr>
              <w:jc w:val="center"/>
            </w:pPr>
            <w:r>
              <w:rPr>
                <w:b/>
                <w:color w:val="FFFFFF"/>
                <w:sz w:val="19"/>
              </w:rPr>
              <w:t>Area / Komponen</w:t>
            </w:r>
          </w:p>
        </w:tc>
        <w:tc>
          <w:tcPr>
            <w:tcW w:type="dxa" w:w="3168"/>
            <w:shd w:fill="1E3A8A"/>
            <w:tcMar>
              <w:top w:w="100" w:type="dxa"/>
              <w:bottom w:w="100" w:type="dxa"/>
              <w:left w:w="100" w:type="dxa"/>
              <w:right w:w="100" w:type="dxa"/>
            </w:tcMar>
          </w:tcPr>
          <w:p>
            <w:pPr>
              <w:jc w:val="center"/>
            </w:pPr>
            <w:r>
              <w:rPr>
                <w:b/>
                <w:color w:val="FFFFFF"/>
                <w:sz w:val="19"/>
              </w:rPr>
              <w:t>Masukan Mentor &amp; Stakeholder</w:t>
            </w:r>
          </w:p>
        </w:tc>
        <w:tc>
          <w:tcPr>
            <w:tcW w:type="dxa" w:w="3312"/>
            <w:shd w:fill="1E3A8A"/>
            <w:tcMar>
              <w:top w:w="100" w:type="dxa"/>
              <w:bottom w:w="100" w:type="dxa"/>
              <w:left w:w="100" w:type="dxa"/>
              <w:right w:w="100" w:type="dxa"/>
            </w:tcMar>
          </w:tcPr>
          <w:p>
            <w:pPr>
              <w:jc w:val="center"/>
            </w:pPr>
            <w:r>
              <w:rPr>
                <w:b/>
                <w:color w:val="FFFFFF"/>
                <w:sz w:val="19"/>
              </w:rPr>
              <w:t>Tindak Lanjut Penyempurnaan Aplikasi</w:t>
            </w:r>
          </w:p>
        </w:tc>
      </w:tr>
      <w:tr>
        <w:tc>
          <w:tcPr>
            <w:tcW w:type="dxa" w:w="720"/>
            <w:shd w:fill="FFFFFF"/>
            <w:tcMar>
              <w:top w:w="80" w:type="dxa"/>
              <w:bottom w:w="80" w:type="dxa"/>
              <w:left w:w="100" w:type="dxa"/>
              <w:right w:w="100" w:type="dxa"/>
            </w:tcMar>
          </w:tcPr>
          <w:p>
            <w:pPr>
              <w:spacing w:after="0"/>
              <w:jc w:val="center"/>
            </w:pPr>
            <w:r>
              <w:rPr>
                <w:color w:val="1E293B"/>
                <w:sz w:val="19"/>
              </w:rPr>
              <w:t>1</w:t>
            </w:r>
          </w:p>
        </w:tc>
        <w:tc>
          <w:tcPr>
            <w:tcW w:type="dxa" w:w="2160"/>
            <w:shd w:fill="FFFFFF"/>
            <w:tcMar>
              <w:top w:w="80" w:type="dxa"/>
              <w:bottom w:w="80" w:type="dxa"/>
              <w:left w:w="100" w:type="dxa"/>
              <w:right w:w="100" w:type="dxa"/>
            </w:tcMar>
          </w:tcPr>
          <w:p>
            <w:pPr>
              <w:spacing w:after="0"/>
            </w:pPr>
            <w:r>
              <w:rPr>
                <w:color w:val="1E293B"/>
                <w:sz w:val="19"/>
              </w:rPr>
              <w:t>Pemisahan Master OPD</w:t>
            </w:r>
          </w:p>
        </w:tc>
        <w:tc>
          <w:tcPr>
            <w:tcW w:type="dxa" w:w="3168"/>
            <w:shd w:fill="FFFFFF"/>
            <w:tcMar>
              <w:top w:w="80" w:type="dxa"/>
              <w:bottom w:w="80" w:type="dxa"/>
              <w:left w:w="100" w:type="dxa"/>
              <w:right w:w="100" w:type="dxa"/>
            </w:tcMar>
          </w:tcPr>
          <w:p>
            <w:pPr>
              <w:spacing w:after="0"/>
            </w:pPr>
            <w:r>
              <w:rPr>
                <w:color w:val="1E293B"/>
                <w:sz w:val="19"/>
              </w:rPr>
              <w:t>Data Master OPD sebaiknya dipisahkan dari tabel progres kompromin agar pengelolaan OPD lebih tertata.</w:t>
            </w:r>
          </w:p>
        </w:tc>
        <w:tc>
          <w:tcPr>
            <w:tcW w:type="dxa" w:w="3312"/>
            <w:shd w:fill="FFFFFF"/>
            <w:tcMar>
              <w:top w:w="80" w:type="dxa"/>
              <w:bottom w:w="80" w:type="dxa"/>
              <w:left w:w="100" w:type="dxa"/>
              <w:right w:w="100" w:type="dxa"/>
            </w:tcMar>
          </w:tcPr>
          <w:p>
            <w:pPr>
              <w:spacing w:after="0"/>
            </w:pPr>
            <w:r>
              <w:rPr>
                <w:color w:val="1E293B"/>
                <w:sz w:val="19"/>
              </w:rPr>
              <w:t>Dibuatkan menu khusus 'Kelola Master OPD' dengan hak CRUD penuh untuk Admin BPS. Tombol edit/hapus OPD di dashboard dihapus.</w:t>
            </w:r>
          </w:p>
        </w:tc>
      </w:tr>
      <w:tr>
        <w:tc>
          <w:tcPr>
            <w:tcW w:type="dxa" w:w="720"/>
            <w:shd w:fill="F8FAFC"/>
            <w:tcMar>
              <w:top w:w="80" w:type="dxa"/>
              <w:bottom w:w="80" w:type="dxa"/>
              <w:left w:w="100" w:type="dxa"/>
              <w:right w:w="100" w:type="dxa"/>
            </w:tcMar>
          </w:tcPr>
          <w:p>
            <w:pPr>
              <w:spacing w:after="0"/>
              <w:jc w:val="center"/>
            </w:pPr>
            <w:r>
              <w:rPr>
                <w:color w:val="1E293B"/>
                <w:sz w:val="19"/>
              </w:rPr>
              <w:t>2</w:t>
            </w:r>
          </w:p>
        </w:tc>
        <w:tc>
          <w:tcPr>
            <w:tcW w:type="dxa" w:w="2160"/>
            <w:shd w:fill="F8FAFC"/>
            <w:tcMar>
              <w:top w:w="80" w:type="dxa"/>
              <w:bottom w:w="80" w:type="dxa"/>
              <w:left w:w="100" w:type="dxa"/>
              <w:right w:w="100" w:type="dxa"/>
            </w:tcMar>
          </w:tcPr>
          <w:p>
            <w:pPr>
              <w:spacing w:after="0"/>
            </w:pPr>
            <w:r>
              <w:rPr>
                <w:color w:val="1E293B"/>
                <w:sz w:val="19"/>
              </w:rPr>
              <w:t>Struktur Kompromin OPD</w:t>
            </w:r>
          </w:p>
        </w:tc>
        <w:tc>
          <w:tcPr>
            <w:tcW w:type="dxa" w:w="3168"/>
            <w:shd w:fill="F8FAFC"/>
            <w:tcMar>
              <w:top w:w="80" w:type="dxa"/>
              <w:bottom w:w="80" w:type="dxa"/>
              <w:left w:w="100" w:type="dxa"/>
              <w:right w:w="100" w:type="dxa"/>
            </w:tcMar>
          </w:tcPr>
          <w:p>
            <w:pPr>
              <w:spacing w:after="0"/>
            </w:pPr>
            <w:r>
              <w:rPr>
                <w:color w:val="1E293B"/>
                <w:sz w:val="19"/>
              </w:rPr>
              <w:t>Daftar aliran data dan OPD penanggung jawab disesuaikan (misal: Dinas Pertanian mengelola 3 kompromin: Padi, Jagung, Hortikultura).</w:t>
            </w:r>
          </w:p>
        </w:tc>
        <w:tc>
          <w:tcPr>
            <w:tcW w:type="dxa" w:w="3312"/>
            <w:shd w:fill="F8FAFC"/>
            <w:tcMar>
              <w:top w:w="80" w:type="dxa"/>
              <w:bottom w:w="80" w:type="dxa"/>
              <w:left w:w="100" w:type="dxa"/>
              <w:right w:w="100" w:type="dxa"/>
            </w:tcMar>
          </w:tcPr>
          <w:p>
            <w:pPr>
              <w:spacing w:after="0"/>
            </w:pPr>
            <w:r>
              <w:rPr>
                <w:color w:val="1E293B"/>
                <w:sz w:val="19"/>
              </w:rPr>
              <w:t>Struktur data diperbarui menjadi relasi 1-to-many. Setiap OPD dapat memiliki beberapa kompromin dengan periode rilis masing-masing.</w:t>
            </w:r>
          </w:p>
        </w:tc>
      </w:tr>
      <w:tr>
        <w:tc>
          <w:tcPr>
            <w:tcW w:type="dxa" w:w="720"/>
            <w:shd w:fill="FFFFFF"/>
            <w:tcMar>
              <w:top w:w="80" w:type="dxa"/>
              <w:bottom w:w="80" w:type="dxa"/>
              <w:left w:w="100" w:type="dxa"/>
              <w:right w:w="100" w:type="dxa"/>
            </w:tcMar>
          </w:tcPr>
          <w:p>
            <w:pPr>
              <w:spacing w:after="0"/>
              <w:jc w:val="center"/>
            </w:pPr>
            <w:r>
              <w:rPr>
                <w:color w:val="1E293B"/>
                <w:sz w:val="19"/>
              </w:rPr>
              <w:t>3</w:t>
            </w:r>
          </w:p>
        </w:tc>
        <w:tc>
          <w:tcPr>
            <w:tcW w:type="dxa" w:w="2160"/>
            <w:shd w:fill="FFFFFF"/>
            <w:tcMar>
              <w:top w:w="80" w:type="dxa"/>
              <w:bottom w:w="80" w:type="dxa"/>
              <w:left w:w="100" w:type="dxa"/>
              <w:right w:w="100" w:type="dxa"/>
            </w:tcMar>
          </w:tcPr>
          <w:p>
            <w:pPr>
              <w:spacing w:after="0"/>
            </w:pPr>
            <w:r>
              <w:rPr>
                <w:color w:val="1E293B"/>
                <w:sz w:val="19"/>
              </w:rPr>
              <w:t>Simplifikasi Filter Dashboard</w:t>
            </w:r>
          </w:p>
        </w:tc>
        <w:tc>
          <w:tcPr>
            <w:tcW w:type="dxa" w:w="3168"/>
            <w:shd w:fill="FFFFFF"/>
            <w:tcMar>
              <w:top w:w="80" w:type="dxa"/>
              <w:bottom w:w="80" w:type="dxa"/>
              <w:left w:w="100" w:type="dxa"/>
              <w:right w:w="100" w:type="dxa"/>
            </w:tcMar>
          </w:tcPr>
          <w:p>
            <w:pPr>
              <w:spacing w:after="0"/>
            </w:pPr>
            <w:r>
              <w:rPr>
                <w:color w:val="1E293B"/>
                <w:sz w:val="19"/>
              </w:rPr>
              <w:t>Filter tahapan progres di dashboard terlalu ramai dan tidak efektif.</w:t>
            </w:r>
          </w:p>
        </w:tc>
        <w:tc>
          <w:tcPr>
            <w:tcW w:type="dxa" w:w="3312"/>
            <w:shd w:fill="FFFFFF"/>
            <w:tcMar>
              <w:top w:w="80" w:type="dxa"/>
              <w:bottom w:w="80" w:type="dxa"/>
              <w:left w:w="100" w:type="dxa"/>
              <w:right w:w="100" w:type="dxa"/>
            </w:tcMar>
          </w:tcPr>
          <w:p>
            <w:pPr>
              <w:spacing w:after="0"/>
            </w:pPr>
            <w:r>
              <w:rPr>
                <w:color w:val="1E293B"/>
                <w:sz w:val="19"/>
              </w:rPr>
              <w:t>Filter tahapan progres dihilangkan. Penyaring dipertahankan pada Filter OPD, Tahun Rilis, Status Publikasi, dan Search Text.</w:t>
            </w:r>
          </w:p>
        </w:tc>
      </w:tr>
      <w:tr>
        <w:tc>
          <w:tcPr>
            <w:tcW w:type="dxa" w:w="720"/>
            <w:shd w:fill="F8FAFC"/>
            <w:tcMar>
              <w:top w:w="80" w:type="dxa"/>
              <w:bottom w:w="80" w:type="dxa"/>
              <w:left w:w="100" w:type="dxa"/>
              <w:right w:w="100" w:type="dxa"/>
            </w:tcMar>
          </w:tcPr>
          <w:p>
            <w:pPr>
              <w:spacing w:after="0"/>
              <w:jc w:val="center"/>
            </w:pPr>
            <w:r>
              <w:rPr>
                <w:color w:val="1E293B"/>
                <w:sz w:val="19"/>
              </w:rPr>
              <w:t>4</w:t>
            </w:r>
          </w:p>
        </w:tc>
        <w:tc>
          <w:tcPr>
            <w:tcW w:type="dxa" w:w="2160"/>
            <w:shd w:fill="F8FAFC"/>
            <w:tcMar>
              <w:top w:w="80" w:type="dxa"/>
              <w:bottom w:w="80" w:type="dxa"/>
              <w:left w:w="100" w:type="dxa"/>
              <w:right w:w="100" w:type="dxa"/>
            </w:tcMar>
          </w:tcPr>
          <w:p>
            <w:pPr>
              <w:spacing w:after="0"/>
            </w:pPr>
            <w:r>
              <w:rPr>
                <w:color w:val="1E293B"/>
                <w:sz w:val="19"/>
              </w:rPr>
              <w:t>Penyederhanaan Status OPD</w:t>
            </w:r>
          </w:p>
        </w:tc>
        <w:tc>
          <w:tcPr>
            <w:tcW w:type="dxa" w:w="3168"/>
            <w:shd w:fill="F8FAFC"/>
            <w:tcMar>
              <w:top w:w="80" w:type="dxa"/>
              <w:bottom w:w="80" w:type="dxa"/>
              <w:left w:w="100" w:type="dxa"/>
              <w:right w:w="100" w:type="dxa"/>
            </w:tcMar>
          </w:tcPr>
          <w:p>
            <w:pPr>
              <w:spacing w:after="0"/>
            </w:pPr>
            <w:r>
              <w:rPr>
                <w:color w:val="1E293B"/>
                <w:sz w:val="19"/>
              </w:rPr>
              <w:t>Status Aktif/Nonaktif pada Master OPD tidak diperlukan karena seluruh OPD terdaftar wajib dibina.</w:t>
            </w:r>
          </w:p>
        </w:tc>
        <w:tc>
          <w:tcPr>
            <w:tcW w:type="dxa" w:w="3312"/>
            <w:shd w:fill="F8FAFC"/>
            <w:tcMar>
              <w:top w:w="80" w:type="dxa"/>
              <w:bottom w:w="80" w:type="dxa"/>
              <w:left w:w="100" w:type="dxa"/>
              <w:right w:w="100" w:type="dxa"/>
            </w:tcMar>
          </w:tcPr>
          <w:p>
            <w:pPr>
              <w:spacing w:after="0"/>
            </w:pPr>
            <w:r>
              <w:rPr>
                <w:color w:val="1E293B"/>
                <w:sz w:val="19"/>
              </w:rPr>
              <w:t>Kolom status dihapus. Semua OPD terdaftar di Kabupaten Pasaman secara otomatis dianggap aktif dalam program pembinaan.</w:t>
            </w:r>
          </w:p>
        </w:tc>
      </w:tr>
    </w:tbl>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left w:val="single" w:sz="24" w:space="0" w:color="1E3A8A"/>
              <w:top w:val="none"/>
              <w:right w:val="none"/>
              <w:bottom w:val="none"/>
            </w:tcBorders>
          </w:tcPr>
          <w:p>
            <w:pPr>
              <w:spacing w:after="40"/>
            </w:pPr>
            <w:r>
              <w:rPr>
                <w:b/>
                <w:color w:val="1E3A8A"/>
              </w:rPr>
              <w:t xml:space="preserve">📌 STATUS FINALISASI APLIKASI: </w:t>
            </w:r>
            <w:r>
              <w:rPr>
                <w:color w:val="1E293B"/>
              </w:rPr>
              <w:t>Seluruh masukan dari Mentor dan Stakeholder telah diimplementasikan 100% pada kode aplikasi SIMPONITAS dan telah diverifikasi bebas dari kendala teknis (error-free).</w:t>
            </w:r>
          </w:p>
        </w:tc>
      </w:tr>
    </w:tbl>
    <w:p/>
    <w:p>
      <w:pPr>
        <w:keepNext/>
        <w:spacing w:before="280" w:after="80"/>
      </w:pPr>
      <w:r>
        <w:rPr>
          <w:rFonts w:ascii="Calibri" w:hAnsi="Calibri"/>
          <w:b/>
          <w:color w:val="1E3A8A"/>
          <w:sz w:val="28"/>
        </w:rPr>
        <w:t>3. Ringkasan Fitur Final Aplikasi SIMPONITAS</w:t>
      </w:r>
    </w:p>
    <w:p>
      <w:r>
        <w:t>Setelah melalui proses penyempurnaan, aplikasi SIMPONITAS memiliki spesifikasi fitur final sebagai berikut:</w:t>
        <w:br/>
        <w:t>1. Modul Kelola Master OPD: Pengelolaan daftar OPD mitra BPS, nama PIC, dan nomor kontak WhatsApp.</w:t>
        <w:br/>
        <w:t>2. Executive Dashboard: Stat cards agregat kabupaten, visual chart progres, dan penyaring data cepat.</w:t>
        <w:br/>
        <w:t>3. Pembaruan Progres Kompromin 4 Tahap: Perhitungan otomatis bobot +25% per tahap (Perencanaan, Pengumpulan, Pemeriksaan, Publikasi Terverifikasi).</w:t>
        <w:br/>
        <w:t>4. Pengajuan Pembinaan Statistik Sektoral: Layanan mandiri bagi OPD untuk memohon pendampingan statistik BPS.</w:t>
        <w:br/>
        <w:t>5. Repository Dokumen Pembinaan: Pusat unduh regulasi SDI, rekomendasi statistik, dan petunjuk teknis.</w:t>
      </w:r>
    </w:p>
    <w:p>
      <w:pPr>
        <w:keepNext/>
        <w:spacing w:before="280" w:after="80"/>
      </w:pPr>
      <w:r>
        <w:rPr>
          <w:rFonts w:ascii="Calibri" w:hAnsi="Calibri"/>
          <w:b/>
          <w:color w:val="1E3A8A"/>
          <w:sz w:val="28"/>
        </w:rPr>
        <w:t>4. Rencana Keberlanjutan dan Serah Terima</w:t>
      </w:r>
    </w:p>
    <w:p>
      <w:r>
        <w:t>Untuk menjamin keberlanjutan pemanfaatan SIMPONITAS di BPS Kabupaten Pasaman, dirancang beberapa langkah strategis:</w:t>
        <w:br/>
        <w:t>• Menyediakan Buku Panduan Pengguna (User Manual) untuk Admin BPS dan Petugas Data OPD.</w:t>
        <w:br/>
        <w:t>• Menyiapkan sosialisasi dan bimbingan teknis penggunaan SIMPONITAS kepada seluruh OPD se-Kabupaten Pasaman.</w:t>
        <w:br/>
        <w:t>• Pemeliharaan berkala pada repositori aplikasi dan basis data.</w:t>
      </w:r>
    </w:p>
    <w:p>
      <w:pPr>
        <w:keepNext/>
        <w:spacing w:before="280" w:after="80"/>
      </w:pPr>
      <w:r>
        <w:rPr>
          <w:rFonts w:ascii="Calibri" w:hAnsi="Calibri"/>
          <w:b/>
          <w:color w:val="1E3A8A"/>
          <w:sz w:val="28"/>
        </w:rPr>
        <w:t>5. Kesimpulan Tahapan 5</w:t>
      </w:r>
    </w:p>
    <w:p>
      <w:r>
        <w:t>Tahapan konsultasi dan penyempurnaan hasil telah selesai dilaksanakan secara komprehensif. Aplikasi SIMPONITAS kini telah memenuhi seluruh standar kebutuhan pengguna dan siap digunakan secara penuh untuk mendukung akselerasi Pembinaan Statistik Sektoral di Kabupaten Pasaman.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