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200" w:before="0"/>
        <w:jc w:val="center"/>
      </w:pPr>
      <w:r>
        <w:rPr>
          <w:b/>
          <w:i w:val="0"/>
          <w:color w:val="059669"/>
          <w:sz w:val="18"/>
        </w:rPr>
        <w:t>CONFIDENTIAL – COMMERCIAL &amp; PROJECT INFORMATION</w:t>
      </w:r>
    </w:p>
    <w:p>
      <w:pPr>
        <w:spacing w:after="40" w:before="0"/>
        <w:jc w:val="center"/>
      </w:pPr>
      <w:r>
        <w:rPr>
          <w:b/>
          <w:i w:val="0"/>
          <w:color w:val="0F172A"/>
          <w:sz w:val="104"/>
        </w:rPr>
        <w:t>WHMIS</w:t>
      </w:r>
    </w:p>
    <w:p>
      <w:pPr>
        <w:spacing w:after="160" w:before="0"/>
        <w:jc w:val="center"/>
      </w:pPr>
      <w:r>
        <w:rPr>
          <w:b w:val="0"/>
          <w:i w:val="0"/>
          <w:color w:val="059669"/>
          <w:sz w:val="30"/>
        </w:rPr>
        <w:t>Pharmaceutical Distribution ERP</w:t>
      </w:r>
    </w:p>
    <w:p>
      <w:pPr>
        <w:jc w:val="center"/>
        <w:pBdr>
          <w:bottom w:val="single" w:sz="12" w:space="1" w:color="059669"/>
        </w:pBdr>
      </w:pPr>
    </w:p>
    <w:p>
      <w:pPr>
        <w:spacing w:after="40" w:before="0"/>
        <w:jc w:val="center"/>
      </w:pPr>
      <w:r>
        <w:rPr>
          <w:b/>
          <w:i w:val="0"/>
          <w:color w:val="0F172A"/>
          <w:sz w:val="36"/>
        </w:rPr>
        <w:t>Pre-Deployment Requirements &amp; Payment Schedule</w:t>
      </w:r>
    </w:p>
    <w:p>
      <w:pPr>
        <w:spacing w:after="360" w:before="0"/>
        <w:jc w:val="center"/>
      </w:pPr>
      <w:r>
        <w:rPr>
          <w:b w:val="0"/>
          <w:i w:val="0"/>
          <w:color w:val="6B7280"/>
          <w:sz w:val="21"/>
        </w:rPr>
        <w:t>Project / System: WHMIS     •     Version 1.0     •     August 2026</w:t>
      </w:r>
    </w:p>
    <w:tbl>
      <w:tblPr>
        <w:tblW w:type="auto" w:w="0"/>
        <w:jc w:val="center"/>
        <w:tblLayout w:type="fixed"/>
        <w:tblLook w:firstColumn="1" w:firstRow="1" w:lastColumn="0" w:lastRow="0" w:noHBand="0" w:noVBand="1" w:val="04A0"/>
      </w:tblPr>
      <w:tblGrid>
        <w:gridCol w:w="4320"/>
        <w:gridCol w:w="4320"/>
      </w:tblGrid>
      <w:tr>
        <w:tc>
          <w:tcPr>
            <w:tcW w:type="dxa" w:w="4680"/>
            <w:tcMar>
              <w:top w:w="140" w:type="dxa"/>
              <w:bottom w:w="140" w:type="dxa"/>
              <w:left w:w="140" w:type="dxa"/>
              <w:right w:w="140" w:type="dxa"/>
            </w:tcMar>
            <w:shd w:val="clear" w:fill="F9FAFB"/>
            <w:tcBorders>
              <w:top w:val="single" w:sz="4" w:space="0" w:color="D1D5DB"/>
              <w:bottom w:val="single" w:sz="4" w:space="0" w:color="D1D5DB"/>
              <w:left w:val="single" w:sz="4" w:space="0" w:color="D1D5DB"/>
              <w:right w:val="single" w:sz="4" w:space="0" w:color="D1D5DB"/>
            </w:tcBorders>
          </w:tcPr>
          <w:p>
            <w:pPr>
              <w:spacing w:after="40"/>
            </w:pPr>
            <w:r/>
            <w:r>
              <w:rPr spc="100">
                <w:b/>
                <w:color w:val="059669"/>
                <w:sz w:val="17"/>
              </w:rPr>
              <w:t>DEVELOPMENT / TECHNOLOGY PARTNER</w:t>
            </w:r>
          </w:p>
          <w:p>
            <w:pPr>
              <w:spacing w:after="80"/>
            </w:pPr>
            <w:r>
              <w:rPr>
                <w:b/>
                <w:color w:val="0F172A"/>
                <w:sz w:val="26"/>
              </w:rPr>
              <w:t>Virtual Wisdom Technologies</w:t>
            </w:r>
          </w:p>
          <w:p>
            <w:pPr>
              <w:spacing w:after="20"/>
            </w:pPr>
            <w:r>
              <w:rPr>
                <w:color w:val="6B7280"/>
                <w:sz w:val="19"/>
              </w:rPr>
              <w:t xml:space="preserve">Primary Contact: </w:t>
            </w:r>
            <w:r>
              <w:rPr>
                <w:color w:val="1F2937"/>
                <w:sz w:val="19"/>
              </w:rPr>
              <w:t>Muhammad Saad Mubeen</w:t>
            </w:r>
          </w:p>
          <w:p>
            <w:pPr>
              <w:spacing w:after="20"/>
            </w:pPr>
            <w:r>
              <w:rPr>
                <w:color w:val="6B7280"/>
                <w:sz w:val="19"/>
              </w:rPr>
              <w:t xml:space="preserve">Designation: </w:t>
            </w:r>
            <w:r>
              <w:rPr>
                <w:color w:val="1F2937"/>
                <w:sz w:val="19"/>
              </w:rPr>
              <w:t>Project Manager</w:t>
            </w:r>
          </w:p>
          <w:p>
            <w:pPr>
              <w:spacing w:after="20"/>
            </w:pPr>
            <w:r>
              <w:rPr>
                <w:color w:val="6B7280"/>
                <w:sz w:val="19"/>
              </w:rPr>
              <w:t xml:space="preserve">Email: </w:t>
            </w:r>
            <w:r>
              <w:rPr>
                <w:color w:val="1F2937"/>
                <w:sz w:val="19"/>
              </w:rPr>
              <w:t>pm@vwisdomtechnologies.com</w:t>
            </w:r>
          </w:p>
          <w:p>
            <w:pPr>
              <w:spacing w:after="20"/>
            </w:pPr>
            <w:r>
              <w:rPr>
                <w:color w:val="6B7280"/>
                <w:sz w:val="19"/>
              </w:rPr>
              <w:t xml:space="preserve">Phone: </w:t>
            </w:r>
            <w:r>
              <w:rPr>
                <w:color w:val="1F2937"/>
                <w:sz w:val="19"/>
              </w:rPr>
              <w:t>+92 318 5161571</w:t>
            </w:r>
          </w:p>
        </w:tc>
        <w:tc>
          <w:tcPr>
            <w:tcW w:type="dxa" w:w="4680"/>
            <w:tcMar>
              <w:top w:w="140" w:type="dxa"/>
              <w:bottom w:w="140" w:type="dxa"/>
              <w:left w:w="140" w:type="dxa"/>
              <w:right w:w="140" w:type="dxa"/>
            </w:tcMar>
            <w:shd w:val="clear" w:fill="F9FAFB"/>
            <w:tcBorders>
              <w:top w:val="single" w:sz="4" w:space="0" w:color="D1D5DB"/>
              <w:bottom w:val="single" w:sz="4" w:space="0" w:color="D1D5DB"/>
              <w:left w:val="single" w:sz="4" w:space="0" w:color="D1D5DB"/>
              <w:right w:val="single" w:sz="4" w:space="0" w:color="D1D5DB"/>
            </w:tcBorders>
          </w:tcPr>
          <w:p>
            <w:pPr>
              <w:spacing w:after="40"/>
            </w:pPr>
            <w:r/>
            <w:r>
              <w:rPr spc="100">
                <w:b/>
                <w:color w:val="059669"/>
                <w:sz w:val="17"/>
              </w:rPr>
              <w:t>CLIENT</w:t>
            </w:r>
          </w:p>
          <w:p>
            <w:pPr>
              <w:spacing w:after="80"/>
            </w:pPr>
            <w:r>
              <w:rPr>
                <w:b/>
                <w:color w:val="0F172A"/>
                <w:sz w:val="26"/>
              </w:rPr>
              <w:t>Master Pharmaceuticals</w:t>
            </w:r>
          </w:p>
          <w:p>
            <w:pPr>
              <w:spacing w:after="20"/>
            </w:pPr>
            <w:r>
              <w:rPr>
                <w:color w:val="6B7280"/>
                <w:sz w:val="19"/>
              </w:rPr>
              <w:t xml:space="preserve">Representative: </w:t>
            </w:r>
            <w:r>
              <w:rPr>
                <w:color w:val="1F2937"/>
                <w:sz w:val="19"/>
              </w:rPr>
              <w:t>Mr. Jamil Ahmed</w:t>
            </w:r>
          </w:p>
          <w:p>
            <w:pPr>
              <w:spacing w:after="20"/>
            </w:pPr>
            <w:r>
              <w:rPr>
                <w:color w:val="6B7280"/>
                <w:sz w:val="19"/>
              </w:rPr>
              <w:t xml:space="preserve">Designation: </w:t>
            </w:r>
            <w:r>
              <w:rPr>
                <w:color w:val="1F2937"/>
                <w:sz w:val="19"/>
              </w:rPr>
              <w:t>[Insert Designation]</w:t>
            </w:r>
          </w:p>
          <w:p>
            <w:pPr>
              <w:spacing w:after="20"/>
            </w:pPr>
            <w:r>
              <w:rPr>
                <w:color w:val="6B7280"/>
                <w:sz w:val="19"/>
              </w:rPr>
              <w:t xml:space="preserve">Email: </w:t>
            </w:r>
            <w:r>
              <w:rPr>
                <w:color w:val="1F2937"/>
                <w:sz w:val="19"/>
              </w:rPr>
              <w:t>[Insert Email]</w:t>
            </w:r>
          </w:p>
          <w:p>
            <w:pPr>
              <w:spacing w:after="20"/>
            </w:pPr>
            <w:r>
              <w:rPr>
                <w:color w:val="6B7280"/>
                <w:sz w:val="19"/>
              </w:rPr>
              <w:t xml:space="preserve">Phone: </w:t>
            </w:r>
            <w:r>
              <w:rPr>
                <w:color w:val="1F2937"/>
                <w:sz w:val="19"/>
              </w:rPr>
              <w:t>[Insert Contact Number]</w:t>
            </w:r>
          </w:p>
          <w:p>
            <w:pPr>
              <w:spacing w:after="20"/>
            </w:pPr>
            <w:r>
              <w:rPr>
                <w:color w:val="6B7280"/>
                <w:sz w:val="19"/>
              </w:rPr>
              <w:t xml:space="preserve">Address: </w:t>
            </w:r>
            <w:r>
              <w:rPr>
                <w:color w:val="1F2937"/>
                <w:sz w:val="19"/>
              </w:rPr>
              <w:t>[Insert Address]</w:t>
            </w:r>
          </w:p>
        </w:tc>
      </w:tr>
    </w:tbl>
    <w:p>
      <w:pPr>
        <w:spacing w:after="0" w:before="0" w:line="320" w:lineRule="exact"/>
      </w:pPr>
    </w:p>
    <w:p>
      <w:pPr>
        <w:spacing w:after="0" w:before="0"/>
        <w:jc w:val="center"/>
      </w:pPr>
      <w:r>
        <w:rPr>
          <w:b w:val="0"/>
          <w:i w:val="0"/>
          <w:color w:val="9CA3AF"/>
          <w:sz w:val="19"/>
        </w:rPr>
        <w:t>Document Version 1.0   ·   August 2026   ·   Confidential – Commercial &amp; Project Information</w:t>
      </w:r>
    </w:p>
    <w:p>
      <w:r>
        <w:br w:type="page"/>
      </w:r>
    </w:p>
    <w:p>
      <w:pPr>
        <w:pStyle w:val="Heading1"/>
      </w:pPr>
      <w:r>
        <w:t>Confidentiality Notice</w:t>
      </w:r>
    </w:p>
    <w:p>
      <w:pPr>
        <w:spacing w:after="160" w:before="0"/>
      </w:pPr>
      <w:r>
        <w:rPr>
          <w:b w:val="0"/>
          <w:i w:val="0"/>
          <w:sz w:val="22"/>
        </w:rPr>
        <w:t>This document is confidential and contains commercial and project information relating to the WHMIS system. It is prepared by Virtual Wisdom Technologies for Master Pharmaceuticals for the sole purpose of defining pre-deployment requirements, third-party costs and the associated payment schedule.</w:t>
      </w:r>
    </w:p>
    <w:p>
      <w:pPr>
        <w:spacing w:after="160" w:before="0"/>
      </w:pPr>
      <w:r>
        <w:rPr>
          <w:b w:val="0"/>
          <w:i w:val="0"/>
          <w:sz w:val="22"/>
        </w:rPr>
        <w:t>Its contents may not be copied, reproduced, distributed or disclosed to any third party, in whole or in part, without the prior written consent of both parties. By receiving this document, the recipient agrees to treat its contents as confidential.</w:t>
      </w:r>
    </w:p>
    <w:p>
      <w:pPr>
        <w:spacing w:after="0" w:before="0"/>
      </w:pPr>
      <w:r>
        <w:rPr>
          <w:b w:val="0"/>
          <w:i/>
          <w:color w:val="6B7280"/>
          <w:sz w:val="20"/>
        </w:rPr>
        <w:t>Classification: Confidential – Commercial &amp; Project Information.</w:t>
      </w:r>
    </w:p>
    <w:p>
      <w:r>
        <w:br w:type="page"/>
      </w:r>
    </w:p>
    <w:p>
      <w:pPr>
        <w:pStyle w:val="Heading1"/>
      </w:pPr>
      <w:r>
        <w:t>Contents</w:t>
      </w:r>
    </w:p>
    <w:p>
      <w:r>
        <w:fldChar w:fldCharType="begin"/>
        <w:instrText xml:space="preserve">TOC \o "1-1" \h \z \u</w:instrText>
        <w:fldChar w:fldCharType="separate"/>
        <w:t>Right-click here and choose “Update Field” to build the contents.</w:t>
        <w:fldChar w:fldCharType="end"/>
      </w:r>
    </w:p>
    <w:p>
      <w:r>
        <w:br w:type="page"/>
      </w:r>
    </w:p>
    <w:p>
      <w:pPr>
        <w:pStyle w:val="Heading1"/>
        <w:spacing w:before="240" w:after="120"/>
        <w:pBdr>
          <w:bottom w:val="single" w:sz="8" w:space="6" w:color="059669"/>
        </w:pBdr>
      </w:pPr>
      <w:r>
        <w:t>1. Purpose of the Document</w:t>
      </w:r>
    </w:p>
    <w:p>
      <w:pPr>
        <w:spacing w:after="160" w:before="0"/>
      </w:pPr>
      <w:r>
        <w:rPr>
          <w:b w:val="0"/>
          <w:i w:val="0"/>
          <w:sz w:val="22"/>
        </w:rPr>
        <w:t>Virtual Wisdom Technologies has developed the existing Phase 1 of the WHMIS system for Master Pharmaceuticals. Master Pharmaceuticals has decided to operate the solution as a cloud-based, internet-accessible system so that authorized users can access it securely from anywhere over the internet.</w:t>
      </w:r>
    </w:p>
    <w:p>
      <w:pPr>
        <w:spacing w:after="80" w:before="0"/>
      </w:pPr>
      <w:r>
        <w:rPr>
          <w:b w:val="0"/>
          <w:i w:val="0"/>
          <w:sz w:val="22"/>
        </w:rPr>
        <w:t>The purpose of this document is to formally define:</w:t>
      </w:r>
    </w:p>
    <w:p>
      <w:pPr>
        <w:pStyle w:val="ListBullet"/>
        <w:spacing w:after="80"/>
      </w:pPr>
      <w:r>
        <w:t>Requirements that must be completed before production deployment.</w:t>
      </w:r>
    </w:p>
    <w:p>
      <w:pPr>
        <w:pStyle w:val="ListBullet"/>
        <w:spacing w:after="80"/>
      </w:pPr>
      <w:r>
        <w:t>Domain selection and registration.</w:t>
      </w:r>
    </w:p>
    <w:p>
      <w:pPr>
        <w:pStyle w:val="ListBullet"/>
        <w:spacing w:after="80"/>
      </w:pPr>
      <w:r>
        <w:t>Hosting plan selection.</w:t>
      </w:r>
    </w:p>
    <w:p>
      <w:pPr>
        <w:pStyle w:val="ListBullet"/>
        <w:spacing w:after="80"/>
      </w:pPr>
      <w:r>
        <w:t>Third-party domain and hosting charges.</w:t>
      </w:r>
    </w:p>
    <w:p>
      <w:pPr>
        <w:pStyle w:val="ListBullet"/>
        <w:spacing w:after="80"/>
      </w:pPr>
      <w:r>
        <w:t>Phase 1 deployment payment.</w:t>
      </w:r>
    </w:p>
    <w:p>
      <w:pPr>
        <w:pStyle w:val="ListBullet"/>
        <w:spacing w:after="80"/>
      </w:pPr>
      <w:r>
        <w:t>Remaining software development payment milestones.</w:t>
      </w:r>
    </w:p>
    <w:p>
      <w:pPr>
        <w:pStyle w:val="ListBullet"/>
        <w:spacing w:after="80"/>
      </w:pPr>
      <w:r>
        <w:t>Production deployment responsibilities.</w:t>
      </w:r>
    </w:p>
    <w:p>
      <w:pPr>
        <w:pStyle w:val="ListBullet"/>
        <w:spacing w:after="80"/>
      </w:pPr>
      <w:r>
        <w:t>Initial production go-live process.</w:t>
      </w:r>
    </w:p>
    <w:p>
      <w:pPr>
        <w:pStyle w:val="ListBullet"/>
        <w:spacing w:after="80"/>
      </w:pPr>
      <w:r>
        <w:t>Post-deployment support and maintenance responsibility.</w:t>
      </w:r>
    </w:p>
    <w:p>
      <w:pPr>
        <w:pStyle w:val="ListBullet"/>
        <w:spacing w:after="80"/>
      </w:pPr>
      <w:r>
        <w:t>Commercial dependencies affecting the implementation schedule.</w:t>
      </w:r>
    </w:p>
    <w:p>
      <w:pPr>
        <w:pStyle w:val="ListBullet"/>
        <w:spacing w:after="80"/>
      </w:pPr>
      <w:r>
        <w:t>Next contractual and operational steps.</w:t>
      </w:r>
    </w:p>
    <w:p>
      <w:pPr>
        <w:spacing w:after="160" w:before="80"/>
      </w:pPr>
      <w:r>
        <w:rPr>
          <w:b w:val="0"/>
          <w:i w:val="0"/>
          <w:sz w:val="22"/>
        </w:rPr>
        <w:t>Detailed software development scope and future module delivery are covered separately under the WHMIS System – Phase-Wise Development &amp; Deployment Plan.</w:t>
      </w:r>
    </w:p>
    <w:p>
      <w:pPr>
        <w:spacing w:after="160" w:before="0"/>
      </w:pPr>
      <w:r>
        <w:rPr>
          <w:b w:val="0"/>
          <w:i w:val="0"/>
          <w:sz w:val="22"/>
        </w:rPr>
        <w:t>Detailed contractual matters, support terms, maintenance terms, service levels, intellectual property, confidentiality, warranties, change requests and other legal/commercial provisions will subsequently be governed through the applicable Service Agreement / Software Development Agreement / Support &amp; Maintenance terms.</w:t>
      </w:r>
    </w:p>
    <w:p>
      <w:pPr>
        <w:pStyle w:val="Heading1"/>
        <w:spacing w:before="240" w:after="120"/>
        <w:pBdr>
          <w:bottom w:val="single" w:sz="8" w:space="6" w:color="059669"/>
        </w:pBdr>
      </w:pPr>
      <w:r>
        <w:t>2. Production Deployment Approach</w:t>
      </w:r>
    </w:p>
    <w:p>
      <w:pPr>
        <w:spacing w:after="160" w:before="0"/>
      </w:pPr>
      <w:r>
        <w:rPr>
          <w:b w:val="0"/>
          <w:i w:val="0"/>
          <w:sz w:val="22"/>
        </w:rPr>
        <w:t>The WHMIS system will be deployed online so that authorized Master Pharmaceuticals users can access it securely through the internet. The production deployment will be managed by Virtual Wisdom Technologies.</w:t>
      </w:r>
    </w:p>
    <w:p>
      <w:pPr>
        <w:spacing w:after="80" w:before="0"/>
      </w:pPr>
      <w:r>
        <w:rPr>
          <w:b w:val="0"/>
          <w:i w:val="0"/>
          <w:sz w:val="22"/>
        </w:rPr>
        <w:t>Virtual Wisdom Technologies will handle all necessary technical deployment activities, including but not limited to:</w:t>
      </w:r>
    </w:p>
    <w:p>
      <w:pPr>
        <w:pStyle w:val="ListBullet"/>
        <w:spacing w:after="80"/>
      </w:pPr>
      <w:r>
        <w:t>Production server setup.</w:t>
      </w:r>
    </w:p>
    <w:p>
      <w:pPr>
        <w:pStyle w:val="ListBullet"/>
        <w:spacing w:after="80"/>
      </w:pPr>
      <w:r>
        <w:t>Application deployment.</w:t>
      </w:r>
    </w:p>
    <w:p>
      <w:pPr>
        <w:pStyle w:val="ListBullet"/>
        <w:spacing w:after="80"/>
      </w:pPr>
      <w:r>
        <w:t>Database deployment and configuration.</w:t>
      </w:r>
    </w:p>
    <w:p>
      <w:pPr>
        <w:pStyle w:val="ListBullet"/>
        <w:spacing w:after="80"/>
      </w:pPr>
      <w:r>
        <w:t>Domain connection and DNS configuration.</w:t>
      </w:r>
    </w:p>
    <w:p>
      <w:pPr>
        <w:pStyle w:val="ListBullet"/>
        <w:spacing w:after="80"/>
      </w:pPr>
      <w:r>
        <w:t>SSL/HTTPS configuration.</w:t>
      </w:r>
    </w:p>
    <w:p>
      <w:pPr>
        <w:pStyle w:val="ListBullet"/>
        <w:spacing w:after="80"/>
      </w:pPr>
      <w:r>
        <w:t>Application environment configuration.</w:t>
      </w:r>
    </w:p>
    <w:p>
      <w:pPr>
        <w:pStyle w:val="ListBullet"/>
        <w:spacing w:after="80"/>
      </w:pPr>
      <w:r>
        <w:t>Production security configuration.</w:t>
      </w:r>
    </w:p>
    <w:p>
      <w:pPr>
        <w:pStyle w:val="ListBullet"/>
        <w:spacing w:after="80"/>
      </w:pPr>
      <w:r>
        <w:t>Backup configuration.</w:t>
      </w:r>
    </w:p>
    <w:p>
      <w:pPr>
        <w:pStyle w:val="ListBullet"/>
        <w:spacing w:after="80"/>
      </w:pPr>
      <w:r>
        <w:t>Application storage configuration.</w:t>
      </w:r>
    </w:p>
    <w:p>
      <w:pPr>
        <w:pStyle w:val="ListBullet"/>
        <w:spacing w:after="80"/>
      </w:pPr>
      <w:r>
        <w:t>Required production-level technical settings.</w:t>
      </w:r>
    </w:p>
    <w:p>
      <w:pPr>
        <w:pStyle w:val="ListBullet"/>
        <w:spacing w:after="80"/>
      </w:pPr>
      <w:r>
        <w:t>Initial server/application monitoring setup.</w:t>
      </w:r>
    </w:p>
    <w:p>
      <w:pPr>
        <w:pStyle w:val="ListBullet"/>
        <w:spacing w:after="80"/>
      </w:pPr>
      <w:r>
        <w:t>Deployment testing.</w:t>
      </w:r>
    </w:p>
    <w:p>
      <w:pPr>
        <w:pStyle w:val="ListBullet"/>
        <w:spacing w:after="80"/>
      </w:pPr>
      <w:r>
        <w:t>Production verification.</w:t>
      </w:r>
    </w:p>
    <w:p>
      <w:pPr>
        <w:pStyle w:val="ListBullet"/>
        <w:spacing w:after="80"/>
      </w:pPr>
      <w:r>
        <w:t>Administrative access configuration.</w:t>
      </w:r>
    </w:p>
    <w:p>
      <w:pPr>
        <w:pStyle w:val="ListBullet"/>
        <w:spacing w:after="80"/>
      </w:pPr>
      <w:r>
        <w:t>Technical troubleshooting associated with deployment.</w:t>
      </w:r>
    </w:p>
    <w:tbl>
      <w:tblPr>
        <w:tblW w:type="auto" w:w="0"/>
        <w:jc w:val="center"/>
        <w:tblLayout w:type="fixed"/>
        <w:tblLook w:firstColumn="1" w:firstRow="1" w:lastColumn="0" w:lastRow="0" w:noHBand="0" w:noVBand="1" w:val="04A0"/>
      </w:tblPr>
      <w:tblGrid>
        <w:gridCol w:w="8640"/>
      </w:tblGrid>
      <w:tr>
        <w:tc>
          <w:tcPr>
            <w:tcW w:type="dxa" w:w="9360"/>
            <w:shd w:val="clear" w:fill="ECFDF5"/>
            <w:tcBorders>
              <w:left w:val="single" w:sz="24" w:space="0" w:color="059669"/>
              <w:top w:val="single" w:sz="4" w:space="0" w:color="A7F3D0"/>
              <w:bottom w:val="single" w:sz="4" w:space="0" w:color="A7F3D0"/>
              <w:right w:val="single" w:sz="4" w:space="0" w:color="A7F3D0"/>
            </w:tcBorders>
            <w:tcMar>
              <w:top w:w="120" w:type="dxa"/>
              <w:bottom w:w="120" w:type="dxa"/>
              <w:left w:w="140" w:type="dxa"/>
              <w:right w:w="140" w:type="dxa"/>
            </w:tcMar>
          </w:tcPr>
          <w:p>
            <w:pPr>
              <w:spacing w:after="40"/>
            </w:pPr>
            <w:r>
              <w:rPr>
                <w:b/>
                <w:color w:val="047857"/>
                <w:sz w:val="22"/>
              </w:rPr>
              <w:t>Master Pharmaceuticals only needs to approve three things</w:t>
            </w:r>
          </w:p>
          <w:p>
            <w:pPr>
              <w:spacing w:after="0" w:before="40"/>
            </w:pPr>
            <w:r>
              <w:rPr>
                <w:color w:val="1F2937"/>
                <w:sz w:val="21"/>
              </w:rPr>
              <w:t>1. The selected domain.   2. The recommended hosting plan.   3. The applicable third-party charges.</w:t>
            </w:r>
          </w:p>
          <w:p>
            <w:pPr>
              <w:spacing w:after="0" w:before="40"/>
            </w:pPr>
            <w:r>
              <w:rPr>
                <w:color w:val="1F2937"/>
                <w:sz w:val="21"/>
              </w:rPr>
              <w:t>Infrastructure-level technical details — CPU, RAM, operating system, database engine, backup retention architecture, server configuration and similar parameters — are the responsibility of Virtual Wisdom Technologies. Master Pharmaceuticals is not required to select or understand them.</w:t>
            </w:r>
          </w:p>
        </w:tc>
      </w:tr>
    </w:tbl>
    <w:p>
      <w:pPr>
        <w:spacing w:after="0" w:before="0" w:line="120" w:lineRule="exact"/>
      </w:pPr>
    </w:p>
    <w:p>
      <w:pPr>
        <w:pStyle w:val="Heading1"/>
        <w:spacing w:before="240" w:after="120"/>
        <w:pBdr>
          <w:bottom w:val="single" w:sz="8" w:space="6" w:color="059669"/>
        </w:pBdr>
      </w:pPr>
      <w:r>
        <w:t>3. Domain Recommendations</w:t>
      </w:r>
    </w:p>
    <w:p>
      <w:pPr>
        <w:spacing w:after="160" w:before="0"/>
      </w:pPr>
      <w:r>
        <w:rPr>
          <w:b w:val="0"/>
          <w:i w:val="0"/>
          <w:sz w:val="22"/>
        </w:rPr>
        <w:t>Virtual Wisdom Technologies will provide approximately 3–4 suitable domain recommendations for Master Pharmaceuticals. The options below are placeholders and will be completed once domain research is finalised.</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728"/>
        <w:gridCol w:w="1728"/>
        <w:gridCol w:w="1728"/>
        <w:gridCol w:w="1728"/>
        <w:gridCol w:w="1728"/>
      </w:tblGrid>
      <w:tr>
        <w:tc>
          <w:tcPr>
            <w:tcW w:type="dxa" w:w="2736"/>
            <w:shd w:val="clear" w:fill="0F172A"/>
            <w:tcMar>
              <w:top w:w="60" w:type="dxa"/>
              <w:bottom w:w="60" w:type="dxa"/>
              <w:left w:w="100" w:type="dxa"/>
              <w:right w:w="100" w:type="dxa"/>
            </w:tcMar>
          </w:tcPr>
          <w:p>
            <w:pPr>
              <w:spacing w:after="0" w:before="0"/>
              <w:jc w:val="left"/>
            </w:pPr>
            <w:r/>
            <w:r>
              <w:rPr>
                <w:b/>
                <w:i w:val="0"/>
                <w:color w:val="FFFFFF"/>
                <w:sz w:val="21"/>
              </w:rPr>
              <w:t>Proposed Domain</w:t>
            </w:r>
          </w:p>
        </w:tc>
        <w:tc>
          <w:tcPr>
            <w:tcW w:type="dxa" w:w="1728"/>
            <w:shd w:val="clear" w:fill="0F172A"/>
            <w:tcMar>
              <w:top w:w="60" w:type="dxa"/>
              <w:bottom w:w="60" w:type="dxa"/>
              <w:left w:w="100" w:type="dxa"/>
              <w:right w:w="100" w:type="dxa"/>
            </w:tcMar>
          </w:tcPr>
          <w:p>
            <w:pPr>
              <w:spacing w:after="0" w:before="0"/>
              <w:jc w:val="left"/>
            </w:pPr>
            <w:r/>
            <w:r>
              <w:rPr>
                <w:b/>
                <w:i w:val="0"/>
                <w:color w:val="FFFFFF"/>
                <w:sz w:val="21"/>
              </w:rPr>
              <w:t>Availability</w:t>
            </w:r>
          </w:p>
        </w:tc>
        <w:tc>
          <w:tcPr>
            <w:tcW w:type="dxa" w:w="1728"/>
            <w:shd w:val="clear" w:fill="0F172A"/>
            <w:tcMar>
              <w:top w:w="60" w:type="dxa"/>
              <w:bottom w:w="60" w:type="dxa"/>
              <w:left w:w="100" w:type="dxa"/>
              <w:right w:w="100" w:type="dxa"/>
            </w:tcMar>
          </w:tcPr>
          <w:p>
            <w:pPr>
              <w:spacing w:after="0" w:before="0"/>
              <w:jc w:val="right"/>
            </w:pPr>
            <w:r/>
            <w:r>
              <w:rPr>
                <w:b/>
                <w:i w:val="0"/>
                <w:color w:val="FFFFFF"/>
                <w:sz w:val="21"/>
              </w:rPr>
              <w:t>First-Year Price</w:t>
            </w:r>
          </w:p>
        </w:tc>
        <w:tc>
          <w:tcPr>
            <w:tcW w:type="dxa" w:w="1584"/>
            <w:shd w:val="clear" w:fill="0F172A"/>
            <w:tcMar>
              <w:top w:w="60" w:type="dxa"/>
              <w:bottom w:w="60" w:type="dxa"/>
              <w:left w:w="100" w:type="dxa"/>
              <w:right w:w="100" w:type="dxa"/>
            </w:tcMar>
          </w:tcPr>
          <w:p>
            <w:pPr>
              <w:spacing w:after="0" w:before="0"/>
              <w:jc w:val="right"/>
            </w:pPr>
            <w:r/>
            <w:r>
              <w:rPr>
                <w:b/>
                <w:i w:val="0"/>
                <w:color w:val="FFFFFF"/>
                <w:sz w:val="21"/>
              </w:rPr>
              <w:t>Renewal Price</w:t>
            </w:r>
          </w:p>
        </w:tc>
        <w:tc>
          <w:tcPr>
            <w:tcW w:type="dxa" w:w="1584"/>
            <w:shd w:val="clear" w:fill="0F172A"/>
            <w:tcMar>
              <w:top w:w="60" w:type="dxa"/>
              <w:bottom w:w="60" w:type="dxa"/>
              <w:left w:w="100" w:type="dxa"/>
              <w:right w:w="100" w:type="dxa"/>
            </w:tcMar>
          </w:tcPr>
          <w:p>
            <w:pPr>
              <w:spacing w:after="0" w:before="0"/>
              <w:jc w:val="left"/>
            </w:pPr>
            <w:r/>
            <w:r>
              <w:rPr>
                <w:b/>
                <w:i w:val="0"/>
                <w:color w:val="FFFFFF"/>
                <w:sz w:val="21"/>
              </w:rPr>
              <w:t>Recommendation</w:t>
            </w:r>
          </w:p>
        </w:tc>
      </w:tr>
      <w:tr>
        <w:tc>
          <w:tcPr>
            <w:tcW w:type="dxa" w:w="2736"/>
            <w:tcMar>
              <w:top w:w="60" w:type="dxa"/>
              <w:bottom w:w="60" w:type="dxa"/>
              <w:left w:w="100" w:type="dxa"/>
              <w:right w:w="100" w:type="dxa"/>
            </w:tcMar>
          </w:tcPr>
          <w:p>
            <w:pPr>
              <w:spacing w:after="0" w:before="0"/>
              <w:jc w:val="left"/>
            </w:pPr>
            <w:r/>
            <w:r>
              <w:rPr>
                <w:b w:val="0"/>
                <w:i w:val="0"/>
                <w:color w:val="1F2937"/>
                <w:sz w:val="21"/>
              </w:rPr>
              <w:t>[Domain Option 1]</w:t>
            </w:r>
          </w:p>
        </w:tc>
        <w:tc>
          <w:tcPr>
            <w:tcW w:type="dxa" w:w="1728"/>
            <w:tcMar>
              <w:top w:w="60" w:type="dxa"/>
              <w:bottom w:w="60" w:type="dxa"/>
              <w:left w:w="100" w:type="dxa"/>
              <w:right w:w="100" w:type="dxa"/>
            </w:tcMar>
          </w:tcPr>
          <w:p>
            <w:pPr>
              <w:spacing w:after="0" w:before="0"/>
              <w:jc w:val="left"/>
            </w:pPr>
            <w:r/>
            <w:r>
              <w:rPr>
                <w:b w:val="0"/>
                <w:i w:val="0"/>
                <w:color w:val="1F2937"/>
                <w:sz w:val="21"/>
              </w:rPr>
              <w:t>[To Be Checked]</w:t>
            </w:r>
          </w:p>
        </w:tc>
        <w:tc>
          <w:tcPr>
            <w:tcW w:type="dxa" w:w="1728"/>
            <w:tcMar>
              <w:top w:w="60" w:type="dxa"/>
              <w:bottom w:w="60" w:type="dxa"/>
              <w:left w:w="100" w:type="dxa"/>
              <w:right w:w="100" w:type="dxa"/>
            </w:tcMar>
          </w:tcPr>
          <w:p>
            <w:pPr>
              <w:spacing w:after="0" w:before="0"/>
              <w:jc w:val="right"/>
            </w:pPr>
            <w:r/>
            <w:r>
              <w:rPr>
                <w:b w:val="0"/>
                <w:i w:val="0"/>
                <w:color w:val="1F2937"/>
                <w:sz w:val="21"/>
              </w:rPr>
              <w:t>PKR [Insert Current Price]</w:t>
            </w:r>
          </w:p>
        </w:tc>
        <w:tc>
          <w:tcPr>
            <w:tcW w:type="dxa" w:w="1584"/>
            <w:tcMar>
              <w:top w:w="60" w:type="dxa"/>
              <w:bottom w:w="60" w:type="dxa"/>
              <w:left w:w="100" w:type="dxa"/>
              <w:right w:w="100" w:type="dxa"/>
            </w:tcMar>
          </w:tcPr>
          <w:p>
            <w:pPr>
              <w:spacing w:after="0" w:before="0"/>
              <w:jc w:val="right"/>
            </w:pPr>
            <w:r/>
            <w:r>
              <w:rPr>
                <w:b w:val="0"/>
                <w:i w:val="0"/>
                <w:color w:val="1F2937"/>
                <w:sz w:val="21"/>
              </w:rPr>
              <w:t>PKR [Insert Current Price]</w:t>
            </w:r>
          </w:p>
        </w:tc>
        <w:tc>
          <w:tcPr>
            <w:tcW w:type="dxa" w:w="1584"/>
            <w:tcMar>
              <w:top w:w="60" w:type="dxa"/>
              <w:bottom w:w="60" w:type="dxa"/>
              <w:left w:w="100" w:type="dxa"/>
              <w:right w:w="100" w:type="dxa"/>
            </w:tcMar>
          </w:tcPr>
          <w:p>
            <w:pPr>
              <w:spacing w:after="0" w:before="0"/>
              <w:jc w:val="left"/>
            </w:pPr>
            <w:r/>
            <w:r>
              <w:rPr>
                <w:b w:val="0"/>
                <w:i w:val="0"/>
                <w:color w:val="1F2937"/>
                <w:sz w:val="21"/>
              </w:rPr>
              <w:t>[Recommendation]</w:t>
            </w:r>
          </w:p>
        </w:tc>
      </w:tr>
      <w:tr>
        <w:tc>
          <w:tcPr>
            <w:tcW w:type="dxa" w:w="2736"/>
            <w:shd w:val="clear" w:fill="F9FAFB"/>
            <w:tcMar>
              <w:top w:w="60" w:type="dxa"/>
              <w:bottom w:w="60" w:type="dxa"/>
              <w:left w:w="100" w:type="dxa"/>
              <w:right w:w="100" w:type="dxa"/>
            </w:tcMar>
          </w:tcPr>
          <w:p>
            <w:pPr>
              <w:spacing w:after="0" w:before="0"/>
              <w:jc w:val="left"/>
            </w:pPr>
            <w:r/>
            <w:r>
              <w:rPr>
                <w:b w:val="0"/>
                <w:i w:val="0"/>
                <w:color w:val="1F2937"/>
                <w:sz w:val="21"/>
              </w:rPr>
              <w:t>[Domain Option 2]</w:t>
            </w:r>
          </w:p>
        </w:tc>
        <w:tc>
          <w:tcPr>
            <w:tcW w:type="dxa" w:w="1728"/>
            <w:shd w:val="clear" w:fill="F9FAFB"/>
            <w:tcMar>
              <w:top w:w="60" w:type="dxa"/>
              <w:bottom w:w="60" w:type="dxa"/>
              <w:left w:w="100" w:type="dxa"/>
              <w:right w:w="100" w:type="dxa"/>
            </w:tcMar>
          </w:tcPr>
          <w:p>
            <w:pPr>
              <w:spacing w:after="0" w:before="0"/>
              <w:jc w:val="left"/>
            </w:pPr>
            <w:r/>
            <w:r>
              <w:rPr>
                <w:b w:val="0"/>
                <w:i w:val="0"/>
                <w:color w:val="1F2937"/>
                <w:sz w:val="21"/>
              </w:rPr>
              <w:t>[To Be Checked]</w:t>
            </w:r>
          </w:p>
        </w:tc>
        <w:tc>
          <w:tcPr>
            <w:tcW w:type="dxa" w:w="1728"/>
            <w:shd w:val="clear" w:fill="F9FAFB"/>
            <w:tcMar>
              <w:top w:w="60" w:type="dxa"/>
              <w:bottom w:w="60" w:type="dxa"/>
              <w:left w:w="100" w:type="dxa"/>
              <w:right w:w="100" w:type="dxa"/>
            </w:tcMar>
          </w:tcPr>
          <w:p>
            <w:pPr>
              <w:spacing w:after="0" w:before="0"/>
              <w:jc w:val="right"/>
            </w:pPr>
            <w:r/>
            <w:r>
              <w:rPr>
                <w:b w:val="0"/>
                <w:i w:val="0"/>
                <w:color w:val="1F2937"/>
                <w:sz w:val="21"/>
              </w:rPr>
              <w:t>PKR [Insert Current Price]</w:t>
            </w:r>
          </w:p>
        </w:tc>
        <w:tc>
          <w:tcPr>
            <w:tcW w:type="dxa" w:w="1584"/>
            <w:shd w:val="clear" w:fill="F9FAFB"/>
            <w:tcMar>
              <w:top w:w="60" w:type="dxa"/>
              <w:bottom w:w="60" w:type="dxa"/>
              <w:left w:w="100" w:type="dxa"/>
              <w:right w:w="100" w:type="dxa"/>
            </w:tcMar>
          </w:tcPr>
          <w:p>
            <w:pPr>
              <w:spacing w:after="0" w:before="0"/>
              <w:jc w:val="right"/>
            </w:pPr>
            <w:r/>
            <w:r>
              <w:rPr>
                <w:b w:val="0"/>
                <w:i w:val="0"/>
                <w:color w:val="1F2937"/>
                <w:sz w:val="21"/>
              </w:rPr>
              <w:t>PKR [Insert Current Price]</w:t>
            </w:r>
          </w:p>
        </w:tc>
        <w:tc>
          <w:tcPr>
            <w:tcW w:type="dxa" w:w="1584"/>
            <w:shd w:val="clear" w:fill="F9FAFB"/>
            <w:tcMar>
              <w:top w:w="60" w:type="dxa"/>
              <w:bottom w:w="60" w:type="dxa"/>
              <w:left w:w="100" w:type="dxa"/>
              <w:right w:w="100" w:type="dxa"/>
            </w:tcMar>
          </w:tcPr>
          <w:p>
            <w:pPr>
              <w:spacing w:after="0" w:before="0"/>
              <w:jc w:val="left"/>
            </w:pPr>
            <w:r/>
            <w:r>
              <w:rPr>
                <w:b w:val="0"/>
                <w:i w:val="0"/>
                <w:color w:val="1F2937"/>
                <w:sz w:val="21"/>
              </w:rPr>
              <w:t>[Recommendation]</w:t>
            </w:r>
          </w:p>
        </w:tc>
      </w:tr>
      <w:tr>
        <w:tc>
          <w:tcPr>
            <w:tcW w:type="dxa" w:w="2736"/>
            <w:tcMar>
              <w:top w:w="60" w:type="dxa"/>
              <w:bottom w:w="60" w:type="dxa"/>
              <w:left w:w="100" w:type="dxa"/>
              <w:right w:w="100" w:type="dxa"/>
            </w:tcMar>
          </w:tcPr>
          <w:p>
            <w:pPr>
              <w:spacing w:after="0" w:before="0"/>
              <w:jc w:val="left"/>
            </w:pPr>
            <w:r/>
            <w:r>
              <w:rPr>
                <w:b w:val="0"/>
                <w:i w:val="0"/>
                <w:color w:val="1F2937"/>
                <w:sz w:val="21"/>
              </w:rPr>
              <w:t>[Domain Option 3]</w:t>
            </w:r>
          </w:p>
        </w:tc>
        <w:tc>
          <w:tcPr>
            <w:tcW w:type="dxa" w:w="1728"/>
            <w:tcMar>
              <w:top w:w="60" w:type="dxa"/>
              <w:bottom w:w="60" w:type="dxa"/>
              <w:left w:w="100" w:type="dxa"/>
              <w:right w:w="100" w:type="dxa"/>
            </w:tcMar>
          </w:tcPr>
          <w:p>
            <w:pPr>
              <w:spacing w:after="0" w:before="0"/>
              <w:jc w:val="left"/>
            </w:pPr>
            <w:r/>
            <w:r>
              <w:rPr>
                <w:b w:val="0"/>
                <w:i w:val="0"/>
                <w:color w:val="1F2937"/>
                <w:sz w:val="21"/>
              </w:rPr>
              <w:t>[To Be Checked]</w:t>
            </w:r>
          </w:p>
        </w:tc>
        <w:tc>
          <w:tcPr>
            <w:tcW w:type="dxa" w:w="1728"/>
            <w:tcMar>
              <w:top w:w="60" w:type="dxa"/>
              <w:bottom w:w="60" w:type="dxa"/>
              <w:left w:w="100" w:type="dxa"/>
              <w:right w:w="100" w:type="dxa"/>
            </w:tcMar>
          </w:tcPr>
          <w:p>
            <w:pPr>
              <w:spacing w:after="0" w:before="0"/>
              <w:jc w:val="right"/>
            </w:pPr>
            <w:r/>
            <w:r>
              <w:rPr>
                <w:b w:val="0"/>
                <w:i w:val="0"/>
                <w:color w:val="1F2937"/>
                <w:sz w:val="21"/>
              </w:rPr>
              <w:t>PKR [Insert Current Price]</w:t>
            </w:r>
          </w:p>
        </w:tc>
        <w:tc>
          <w:tcPr>
            <w:tcW w:type="dxa" w:w="1584"/>
            <w:tcMar>
              <w:top w:w="60" w:type="dxa"/>
              <w:bottom w:w="60" w:type="dxa"/>
              <w:left w:w="100" w:type="dxa"/>
              <w:right w:w="100" w:type="dxa"/>
            </w:tcMar>
          </w:tcPr>
          <w:p>
            <w:pPr>
              <w:spacing w:after="0" w:before="0"/>
              <w:jc w:val="right"/>
            </w:pPr>
            <w:r/>
            <w:r>
              <w:rPr>
                <w:b w:val="0"/>
                <w:i w:val="0"/>
                <w:color w:val="1F2937"/>
                <w:sz w:val="21"/>
              </w:rPr>
              <w:t>PKR [Insert Current Price]</w:t>
            </w:r>
          </w:p>
        </w:tc>
        <w:tc>
          <w:tcPr>
            <w:tcW w:type="dxa" w:w="1584"/>
            <w:tcMar>
              <w:top w:w="60" w:type="dxa"/>
              <w:bottom w:w="60" w:type="dxa"/>
              <w:left w:w="100" w:type="dxa"/>
              <w:right w:w="100" w:type="dxa"/>
            </w:tcMar>
          </w:tcPr>
          <w:p>
            <w:pPr>
              <w:spacing w:after="0" w:before="0"/>
              <w:jc w:val="left"/>
            </w:pPr>
            <w:r/>
            <w:r>
              <w:rPr>
                <w:b w:val="0"/>
                <w:i w:val="0"/>
                <w:color w:val="1F2937"/>
                <w:sz w:val="21"/>
              </w:rPr>
              <w:t>[Recommendation]</w:t>
            </w:r>
          </w:p>
        </w:tc>
      </w:tr>
      <w:tr>
        <w:tc>
          <w:tcPr>
            <w:tcW w:type="dxa" w:w="2736"/>
            <w:shd w:val="clear" w:fill="F9FAFB"/>
            <w:tcMar>
              <w:top w:w="60" w:type="dxa"/>
              <w:bottom w:w="60" w:type="dxa"/>
              <w:left w:w="100" w:type="dxa"/>
              <w:right w:w="100" w:type="dxa"/>
            </w:tcMar>
          </w:tcPr>
          <w:p>
            <w:pPr>
              <w:spacing w:after="0" w:before="0"/>
              <w:jc w:val="left"/>
            </w:pPr>
            <w:r/>
            <w:r>
              <w:rPr>
                <w:b w:val="0"/>
                <w:i w:val="0"/>
                <w:color w:val="1F2937"/>
                <w:sz w:val="21"/>
              </w:rPr>
              <w:t>[Domain Option 4]</w:t>
            </w:r>
          </w:p>
        </w:tc>
        <w:tc>
          <w:tcPr>
            <w:tcW w:type="dxa" w:w="1728"/>
            <w:shd w:val="clear" w:fill="F9FAFB"/>
            <w:tcMar>
              <w:top w:w="60" w:type="dxa"/>
              <w:bottom w:w="60" w:type="dxa"/>
              <w:left w:w="100" w:type="dxa"/>
              <w:right w:w="100" w:type="dxa"/>
            </w:tcMar>
          </w:tcPr>
          <w:p>
            <w:pPr>
              <w:spacing w:after="0" w:before="0"/>
              <w:jc w:val="left"/>
            </w:pPr>
            <w:r/>
            <w:r>
              <w:rPr>
                <w:b w:val="0"/>
                <w:i w:val="0"/>
                <w:color w:val="1F2937"/>
                <w:sz w:val="21"/>
              </w:rPr>
              <w:t>[To Be Checked]</w:t>
            </w:r>
          </w:p>
        </w:tc>
        <w:tc>
          <w:tcPr>
            <w:tcW w:type="dxa" w:w="1728"/>
            <w:shd w:val="clear" w:fill="F9FAFB"/>
            <w:tcMar>
              <w:top w:w="60" w:type="dxa"/>
              <w:bottom w:w="60" w:type="dxa"/>
              <w:left w:w="100" w:type="dxa"/>
              <w:right w:w="100" w:type="dxa"/>
            </w:tcMar>
          </w:tcPr>
          <w:p>
            <w:pPr>
              <w:spacing w:after="0" w:before="0"/>
              <w:jc w:val="right"/>
            </w:pPr>
            <w:r/>
            <w:r>
              <w:rPr>
                <w:b w:val="0"/>
                <w:i w:val="0"/>
                <w:color w:val="1F2937"/>
                <w:sz w:val="21"/>
              </w:rPr>
              <w:t>PKR [Insert Current Price]</w:t>
            </w:r>
          </w:p>
        </w:tc>
        <w:tc>
          <w:tcPr>
            <w:tcW w:type="dxa" w:w="1584"/>
            <w:shd w:val="clear" w:fill="F9FAFB"/>
            <w:tcMar>
              <w:top w:w="60" w:type="dxa"/>
              <w:bottom w:w="60" w:type="dxa"/>
              <w:left w:w="100" w:type="dxa"/>
              <w:right w:w="100" w:type="dxa"/>
            </w:tcMar>
          </w:tcPr>
          <w:p>
            <w:pPr>
              <w:spacing w:after="0" w:before="0"/>
              <w:jc w:val="right"/>
            </w:pPr>
            <w:r/>
            <w:r>
              <w:rPr>
                <w:b w:val="0"/>
                <w:i w:val="0"/>
                <w:color w:val="1F2937"/>
                <w:sz w:val="21"/>
              </w:rPr>
              <w:t>PKR [Insert Current Price]</w:t>
            </w:r>
          </w:p>
        </w:tc>
        <w:tc>
          <w:tcPr>
            <w:tcW w:type="dxa" w:w="1584"/>
            <w:shd w:val="clear" w:fill="F9FAFB"/>
            <w:tcMar>
              <w:top w:w="60" w:type="dxa"/>
              <w:bottom w:w="60" w:type="dxa"/>
              <w:left w:w="100" w:type="dxa"/>
              <w:right w:w="100" w:type="dxa"/>
            </w:tcMar>
          </w:tcPr>
          <w:p>
            <w:pPr>
              <w:spacing w:after="0" w:before="0"/>
              <w:jc w:val="left"/>
            </w:pPr>
            <w:r/>
            <w:r>
              <w:rPr>
                <w:b w:val="0"/>
                <w:i w:val="0"/>
                <w:color w:val="1F2937"/>
                <w:sz w:val="21"/>
              </w:rPr>
              <w:t>[Recommendation]</w:t>
            </w:r>
          </w:p>
        </w:tc>
      </w:tr>
    </w:tbl>
    <w:p>
      <w:pPr>
        <w:spacing w:after="0" w:before="0" w:line="160" w:lineRule="exact"/>
      </w:pPr>
    </w:p>
    <w:p>
      <w:pPr>
        <w:spacing w:after="80" w:before="0"/>
      </w:pPr>
      <w:r>
        <w:rPr>
          <w:b w:val="0"/>
          <w:i w:val="0"/>
          <w:sz w:val="22"/>
        </w:rPr>
        <w:t>Please note the following regarding domain registration:</w:t>
      </w:r>
    </w:p>
    <w:p>
      <w:pPr>
        <w:pStyle w:val="ListBullet"/>
        <w:spacing w:after="80"/>
      </w:pPr>
      <w:r>
        <w:t>Domain pricing is a third-party registrar charge.</w:t>
      </w:r>
    </w:p>
    <w:p>
      <w:pPr>
        <w:pStyle w:val="ListBullet"/>
        <w:spacing w:after="80"/>
      </w:pPr>
      <w:r>
        <w:t>Domain cost is separate from the PKR 300,000 software development and deployment fee.</w:t>
      </w:r>
    </w:p>
    <w:p>
      <w:pPr>
        <w:pStyle w:val="ListBullet"/>
        <w:spacing w:after="80"/>
      </w:pPr>
      <w:r>
        <w:t>Final domain availability must be verified immediately before purchase.</w:t>
      </w:r>
    </w:p>
    <w:p>
      <w:pPr>
        <w:pStyle w:val="ListBullet"/>
        <w:spacing w:after="80"/>
      </w:pPr>
      <w:r>
        <w:t>Domain prices may change at any time.</w:t>
      </w:r>
    </w:p>
    <w:p>
      <w:pPr>
        <w:pStyle w:val="ListBullet"/>
        <w:spacing w:after="80"/>
      </w:pPr>
      <w:r>
        <w:t>Promotional first-year prices may differ from renewal prices.</w:t>
      </w:r>
    </w:p>
    <w:p>
      <w:pPr>
        <w:pStyle w:val="ListBullet"/>
        <w:spacing w:after="80"/>
      </w:pPr>
      <w:r>
        <w:t>Renewal rates are determined by the registrar.</w:t>
      </w:r>
    </w:p>
    <w:p>
      <w:pPr>
        <w:pStyle w:val="ListBullet"/>
        <w:spacing w:after="80"/>
      </w:pPr>
      <w:r>
        <w:t>International vendor pricing may vary due to USD/PKR exchange-rate changes.</w:t>
      </w:r>
    </w:p>
    <w:p>
      <w:pPr>
        <w:pStyle w:val="ListBullet"/>
        <w:spacing w:after="80"/>
      </w:pPr>
      <w:r>
        <w:t>Applicable taxes or registrar fees may affect the final price.</w:t>
      </w:r>
    </w:p>
    <w:p>
      <w:pPr>
        <w:pStyle w:val="ListBullet"/>
        <w:spacing w:after="80"/>
      </w:pPr>
      <w:r>
        <w:t>Domain purchase will proceed after Master Pharmaceuticals approves one of the recommended options.</w:t>
      </w:r>
    </w:p>
    <w:p>
      <w:pPr>
        <w:spacing w:after="160" w:before="80"/>
      </w:pPr>
      <w:r>
        <w:rPr>
          <w:b w:val="0"/>
          <w:i w:val="0"/>
          <w:sz w:val="22"/>
        </w:rPr>
        <w:t>Where possible, the final domain will be registered under Master Pharmaceuticals’ ownership, or under an agreed ownership/account arrangement that ensures long-term client control.</w:t>
      </w:r>
    </w:p>
    <w:p>
      <w:pPr>
        <w:pStyle w:val="Heading1"/>
        <w:spacing w:before="240" w:after="120"/>
        <w:pBdr>
          <w:bottom w:val="single" w:sz="8" w:space="6" w:color="059669"/>
        </w:pBdr>
      </w:pPr>
      <w:r>
        <w:t>4. Recommended Hosting Plan</w:t>
      </w:r>
    </w:p>
    <w:p>
      <w:pPr>
        <w:spacing w:after="160" w:before="0"/>
      </w:pPr>
      <w:r>
        <w:rPr>
          <w:b w:val="0"/>
          <w:i w:val="0"/>
          <w:sz w:val="22"/>
        </w:rPr>
        <w:t>Virtual Wisdom Technologies will identify and recommend a suitable production hosting plan for the WHMIS system. The recommendation is kept simple and commercial; the underlying infrastructure engineering is handled by Virtual Wisdom Technologies.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728"/>
        <w:gridCol w:w="1728"/>
        <w:gridCol w:w="1728"/>
        <w:gridCol w:w="1728"/>
        <w:gridCol w:w="1728"/>
      </w:tblGrid>
      <w:tr>
        <w:tc>
          <w:tcPr>
            <w:tcW w:type="dxa" w:w="2880"/>
            <w:shd w:val="clear" w:fill="0F172A"/>
            <w:tcMar>
              <w:top w:w="60" w:type="dxa"/>
              <w:bottom w:w="60" w:type="dxa"/>
              <w:left w:w="100" w:type="dxa"/>
              <w:right w:w="100" w:type="dxa"/>
            </w:tcMar>
          </w:tcPr>
          <w:p>
            <w:pPr>
              <w:spacing w:after="0" w:before="0"/>
              <w:jc w:val="left"/>
            </w:pPr>
            <w:r/>
            <w:r>
              <w:rPr>
                <w:b/>
                <w:i w:val="0"/>
                <w:color w:val="FFFFFF"/>
                <w:sz w:val="21"/>
              </w:rPr>
              <w:t>Hosting Plan</w:t>
            </w:r>
          </w:p>
        </w:tc>
        <w:tc>
          <w:tcPr>
            <w:tcW w:type="dxa" w:w="1584"/>
            <w:shd w:val="clear" w:fill="0F172A"/>
            <w:tcMar>
              <w:top w:w="60" w:type="dxa"/>
              <w:bottom w:w="60" w:type="dxa"/>
              <w:left w:w="100" w:type="dxa"/>
              <w:right w:w="100" w:type="dxa"/>
            </w:tcMar>
          </w:tcPr>
          <w:p>
            <w:pPr>
              <w:spacing w:after="0" w:before="0"/>
              <w:jc w:val="left"/>
            </w:pPr>
            <w:r/>
            <w:r>
              <w:rPr>
                <w:b/>
                <w:i w:val="0"/>
                <w:color w:val="FFFFFF"/>
                <w:sz w:val="21"/>
              </w:rPr>
              <w:t>Billing Period</w:t>
            </w:r>
          </w:p>
        </w:tc>
        <w:tc>
          <w:tcPr>
            <w:tcW w:type="dxa" w:w="1584"/>
            <w:shd w:val="clear" w:fill="0F172A"/>
            <w:tcMar>
              <w:top w:w="60" w:type="dxa"/>
              <w:bottom w:w="60" w:type="dxa"/>
              <w:left w:w="100" w:type="dxa"/>
              <w:right w:w="100" w:type="dxa"/>
            </w:tcMar>
          </w:tcPr>
          <w:p>
            <w:pPr>
              <w:spacing w:after="0" w:before="0"/>
              <w:jc w:val="right"/>
            </w:pPr>
            <w:r/>
            <w:r>
              <w:rPr>
                <w:b/>
                <w:i w:val="0"/>
                <w:color w:val="FFFFFF"/>
                <w:sz w:val="21"/>
              </w:rPr>
              <w:t>First-Year Cost</w:t>
            </w:r>
          </w:p>
        </w:tc>
        <w:tc>
          <w:tcPr>
            <w:tcW w:type="dxa" w:w="1440"/>
            <w:shd w:val="clear" w:fill="0F172A"/>
            <w:tcMar>
              <w:top w:w="60" w:type="dxa"/>
              <w:bottom w:w="60" w:type="dxa"/>
              <w:left w:w="100" w:type="dxa"/>
              <w:right w:w="100" w:type="dxa"/>
            </w:tcMar>
          </w:tcPr>
          <w:p>
            <w:pPr>
              <w:spacing w:after="0" w:before="0"/>
              <w:jc w:val="right"/>
            </w:pPr>
            <w:r/>
            <w:r>
              <w:rPr>
                <w:b/>
                <w:i w:val="0"/>
                <w:color w:val="FFFFFF"/>
                <w:sz w:val="21"/>
              </w:rPr>
              <w:t>Renewal Cost</w:t>
            </w:r>
          </w:p>
        </w:tc>
        <w:tc>
          <w:tcPr>
            <w:tcW w:type="dxa" w:w="1872"/>
            <w:shd w:val="clear" w:fill="0F172A"/>
            <w:tcMar>
              <w:top w:w="60" w:type="dxa"/>
              <w:bottom w:w="60" w:type="dxa"/>
              <w:left w:w="100" w:type="dxa"/>
              <w:right w:w="100" w:type="dxa"/>
            </w:tcMar>
          </w:tcPr>
          <w:p>
            <w:pPr>
              <w:spacing w:after="0" w:before="0"/>
              <w:jc w:val="left"/>
            </w:pPr>
            <w:r/>
            <w:r>
              <w:rPr>
                <w:b/>
                <w:i w:val="0"/>
                <w:color w:val="FFFFFF"/>
                <w:sz w:val="21"/>
              </w:rPr>
              <w:t>Recommendation</w:t>
            </w:r>
          </w:p>
        </w:tc>
      </w:tr>
      <w:tr>
        <w:tc>
          <w:tcPr>
            <w:tcW w:type="dxa" w:w="2880"/>
            <w:tcMar>
              <w:top w:w="60" w:type="dxa"/>
              <w:bottom w:w="60" w:type="dxa"/>
              <w:left w:w="100" w:type="dxa"/>
              <w:right w:w="100" w:type="dxa"/>
            </w:tcMar>
          </w:tcPr>
          <w:p>
            <w:pPr>
              <w:spacing w:after="0" w:before="0"/>
              <w:jc w:val="left"/>
            </w:pPr>
            <w:r/>
            <w:r>
              <w:rPr>
                <w:b w:val="0"/>
                <w:i w:val="0"/>
                <w:color w:val="1F2937"/>
                <w:sz w:val="21"/>
              </w:rPr>
              <w:t>[Insert Provider] — [Insert Plan]</w:t>
            </w:r>
          </w:p>
        </w:tc>
        <w:tc>
          <w:tcPr>
            <w:tcW w:type="dxa" w:w="1584"/>
            <w:tcMar>
              <w:top w:w="60" w:type="dxa"/>
              <w:bottom w:w="60" w:type="dxa"/>
              <w:left w:w="100" w:type="dxa"/>
              <w:right w:w="100" w:type="dxa"/>
            </w:tcMar>
          </w:tcPr>
          <w:p>
            <w:pPr>
              <w:spacing w:after="0" w:before="0"/>
              <w:jc w:val="left"/>
            </w:pPr>
            <w:r/>
            <w:r>
              <w:rPr>
                <w:b w:val="0"/>
                <w:i w:val="0"/>
                <w:color w:val="1F2937"/>
                <w:sz w:val="21"/>
              </w:rPr>
              <w:t>[Annual / Monthly]</w:t>
            </w:r>
          </w:p>
        </w:tc>
        <w:tc>
          <w:tcPr>
            <w:tcW w:type="dxa" w:w="1584"/>
            <w:tcMar>
              <w:top w:w="60" w:type="dxa"/>
              <w:bottom w:w="60" w:type="dxa"/>
              <w:left w:w="100" w:type="dxa"/>
              <w:right w:w="100" w:type="dxa"/>
            </w:tcMar>
          </w:tcPr>
          <w:p>
            <w:pPr>
              <w:spacing w:after="0" w:before="0"/>
              <w:jc w:val="right"/>
            </w:pPr>
            <w:r/>
            <w:r>
              <w:rPr>
                <w:b w:val="0"/>
                <w:i w:val="0"/>
                <w:color w:val="1F2937"/>
                <w:sz w:val="21"/>
              </w:rPr>
              <w:t>PKR [Insert]</w:t>
            </w:r>
          </w:p>
        </w:tc>
        <w:tc>
          <w:tcPr>
            <w:tcW w:type="dxa" w:w="1440"/>
            <w:tcMar>
              <w:top w:w="60" w:type="dxa"/>
              <w:bottom w:w="60" w:type="dxa"/>
              <w:left w:w="100" w:type="dxa"/>
              <w:right w:w="100" w:type="dxa"/>
            </w:tcMar>
          </w:tcPr>
          <w:p>
            <w:pPr>
              <w:spacing w:after="0" w:before="0"/>
              <w:jc w:val="right"/>
            </w:pPr>
            <w:r/>
            <w:r>
              <w:rPr>
                <w:b w:val="0"/>
                <w:i w:val="0"/>
                <w:color w:val="1F2937"/>
                <w:sz w:val="21"/>
              </w:rPr>
              <w:t>PKR [Insert]</w:t>
            </w:r>
          </w:p>
        </w:tc>
        <w:tc>
          <w:tcPr>
            <w:tcW w:type="dxa" w:w="1872"/>
            <w:tcMar>
              <w:top w:w="60" w:type="dxa"/>
              <w:bottom w:w="60" w:type="dxa"/>
              <w:left w:w="100" w:type="dxa"/>
              <w:right w:w="100" w:type="dxa"/>
            </w:tcMar>
          </w:tcPr>
          <w:p>
            <w:pPr>
              <w:spacing w:after="0" w:before="0"/>
              <w:jc w:val="left"/>
            </w:pPr>
            <w:r/>
            <w:r>
              <w:rPr>
                <w:b w:val="0"/>
                <w:i w:val="0"/>
                <w:color w:val="1F2937"/>
                <w:sz w:val="21"/>
              </w:rPr>
              <w:t>Recommended for WHMIS Production Environment</w:t>
            </w:r>
          </w:p>
        </w:tc>
      </w:tr>
    </w:tbl>
    <w:p>
      <w:pPr>
        <w:spacing w:after="0" w:before="0" w:line="160" w:lineRule="exact"/>
      </w:pPr>
    </w:p>
    <w:p>
      <w:pPr>
        <w:spacing w:after="160" w:before="0"/>
      </w:pPr>
      <w:r>
        <w:rPr>
          <w:b w:val="0"/>
          <w:i w:val="0"/>
          <w:sz w:val="22"/>
        </w:rPr>
        <w:t>The recommended plan has been selected by Virtual Wisdom Technologies based on the application’s expected operational needs. Master Pharmaceuticals is not required to make technical infrastructure decisions; approval is only required for the selected plan and its cost.</w:t>
      </w:r>
    </w:p>
    <w:p>
      <w:pPr>
        <w:pStyle w:val="Heading1"/>
        <w:spacing w:before="240" w:after="120"/>
        <w:pBdr>
          <w:bottom w:val="single" w:sz="8" w:space="6" w:color="059669"/>
        </w:pBdr>
      </w:pPr>
      <w:r>
        <w:t>5. What Virtual Wisdom Technologies Will Manage</w:t>
      </w:r>
    </w:p>
    <w:p>
      <w:pPr>
        <w:spacing w:after="160" w:before="0"/>
      </w:pPr>
      <w:r>
        <w:rPr>
          <w:b w:val="0"/>
          <w:i w:val="0"/>
          <w:sz w:val="22"/>
        </w:rPr>
        <w:t>After approval of the hosting and domain, Virtual Wisdom Technologies will take responsibility for the technical deployment and production configuration.</w:t>
      </w:r>
    </w:p>
    <w:p>
      <w:pPr>
        <w:spacing w:before="200" w:after="60"/>
      </w:pPr>
      <w:r>
        <w:rPr>
          <w:b/>
          <w:color w:val="0F172A"/>
          <w:sz w:val="23"/>
        </w:rPr>
        <w:t>Production Deployment</w:t>
      </w:r>
    </w:p>
    <w:p>
      <w:pPr>
        <w:pStyle w:val="ListBullet"/>
        <w:spacing w:after="80"/>
      </w:pPr>
      <w:r>
        <w:t>Hosting setup.</w:t>
      </w:r>
    </w:p>
    <w:p>
      <w:pPr>
        <w:pStyle w:val="ListBullet"/>
        <w:spacing w:after="80"/>
      </w:pPr>
      <w:r>
        <w:t>Domain connection.</w:t>
      </w:r>
    </w:p>
    <w:p>
      <w:pPr>
        <w:pStyle w:val="ListBullet"/>
        <w:spacing w:after="80"/>
      </w:pPr>
      <w:r>
        <w:t>SSL/HTTPS setup.</w:t>
      </w:r>
    </w:p>
    <w:p>
      <w:pPr>
        <w:pStyle w:val="ListBullet"/>
        <w:spacing w:after="80"/>
      </w:pPr>
      <w:r>
        <w:t>Application deployment.</w:t>
      </w:r>
    </w:p>
    <w:p>
      <w:pPr>
        <w:pStyle w:val="ListBullet"/>
        <w:spacing w:after="80"/>
      </w:pPr>
      <w:r>
        <w:t>Database setup.</w:t>
      </w:r>
    </w:p>
    <w:p>
      <w:pPr>
        <w:pStyle w:val="ListBullet"/>
        <w:spacing w:after="80"/>
      </w:pPr>
      <w:r>
        <w:t>Required production configuration.</w:t>
      </w:r>
    </w:p>
    <w:p>
      <w:pPr>
        <w:pStyle w:val="ListBullet"/>
        <w:spacing w:after="80"/>
      </w:pPr>
      <w:r>
        <w:t>User/admin setup.</w:t>
      </w:r>
    </w:p>
    <w:p>
      <w:pPr>
        <w:pStyle w:val="ListBullet"/>
        <w:spacing w:after="80"/>
      </w:pPr>
      <w:r>
        <w:t>Deployment verification.</w:t>
      </w:r>
    </w:p>
    <w:p>
      <w:pPr>
        <w:pStyle w:val="ListBullet"/>
        <w:spacing w:after="80"/>
      </w:pPr>
      <w:r>
        <w:t>Production testing.</w:t>
      </w:r>
    </w:p>
    <w:p>
      <w:pPr>
        <w:pStyle w:val="ListBullet"/>
        <w:spacing w:after="80"/>
      </w:pPr>
      <w:r>
        <w:t>Go-live support.</w:t>
      </w:r>
    </w:p>
    <w:p>
      <w:pPr>
        <w:spacing w:before="200" w:after="60"/>
      </w:pPr>
      <w:r>
        <w:rPr>
          <w:b/>
          <w:color w:val="0F172A"/>
          <w:sz w:val="23"/>
        </w:rPr>
        <w:t>Production Backup &amp; Technical Configuration</w:t>
      </w:r>
    </w:p>
    <w:p>
      <w:pPr>
        <w:spacing w:after="120" w:before="0"/>
      </w:pPr>
      <w:r>
        <w:rPr>
          <w:b w:val="0"/>
          <w:i w:val="0"/>
          <w:sz w:val="22"/>
        </w:rPr>
        <w:t>Virtual Wisdom Technologies will configure and manage the required backup arrangements according to the selected hosting environment and project requirements. Master Pharmaceuticals is not required to define the backup architecture.</w:t>
      </w:r>
    </w:p>
    <w:p>
      <w:pPr>
        <w:spacing w:before="200" w:after="60"/>
      </w:pPr>
      <w:r>
        <w:rPr>
          <w:b/>
          <w:color w:val="0F172A"/>
          <w:sz w:val="23"/>
        </w:rPr>
        <w:t>Technical Server Management</w:t>
      </w:r>
    </w:p>
    <w:p>
      <w:pPr>
        <w:spacing w:after="160" w:before="0"/>
      </w:pPr>
      <w:r>
        <w:rPr>
          <w:b w:val="0"/>
          <w:i w:val="0"/>
          <w:sz w:val="22"/>
        </w:rPr>
        <w:t>Virtual Wisdom Technologies will manage the technical configuration necessary for WHMIS to operate on the selected hosting environment. The client will not be required to manage production server-level settings unless otherwise mutually agreed.</w:t>
      </w:r>
    </w:p>
    <w:p>
      <w:pPr>
        <w:pStyle w:val="Heading1"/>
        <w:spacing w:before="240" w:after="120"/>
        <w:pBdr>
          <w:bottom w:val="single" w:sz="8" w:space="6" w:color="059669"/>
        </w:pBdr>
      </w:pPr>
      <w:r>
        <w:t>6. Third-Party Vendor Charges</w:t>
      </w:r>
    </w:p>
    <w:p>
      <w:pPr>
        <w:spacing w:after="80" w:before="0"/>
      </w:pPr>
      <w:r>
        <w:rPr>
          <w:b w:val="0"/>
          <w:i w:val="0"/>
          <w:sz w:val="22"/>
        </w:rPr>
        <w:t>The following costs are separate from the WHMIS software development and deployment charges:</w:t>
      </w:r>
    </w:p>
    <w:p>
      <w:pPr>
        <w:pStyle w:val="ListBullet"/>
        <w:spacing w:after="80"/>
      </w:pPr>
      <w:r>
        <w:t>Domain registration.</w:t>
      </w:r>
    </w:p>
    <w:p>
      <w:pPr>
        <w:pStyle w:val="ListBullet"/>
        <w:spacing w:after="80"/>
      </w:pPr>
      <w:r>
        <w:t>Domain renewal.</w:t>
      </w:r>
    </w:p>
    <w:p>
      <w:pPr>
        <w:pStyle w:val="ListBullet"/>
        <w:spacing w:after="80"/>
      </w:pPr>
      <w:r>
        <w:t>Production hosting.</w:t>
      </w:r>
    </w:p>
    <w:p>
      <w:pPr>
        <w:pStyle w:val="ListBullet"/>
        <w:spacing w:after="80"/>
      </w:pPr>
      <w:r>
        <w:t>Hosting renewal.</w:t>
      </w:r>
    </w:p>
    <w:p>
      <w:pPr>
        <w:pStyle w:val="ListBullet"/>
        <w:spacing w:after="80"/>
      </w:pPr>
      <w:r>
        <w:t>Any separately approved premium third-party service introduced later.</w:t>
      </w:r>
    </w:p>
    <w:p>
      <w:pPr>
        <w:spacing w:after="160" w:before="80"/>
      </w:pPr>
      <w:r>
        <w:rPr>
          <w:b w:val="0"/>
          <w:i w:val="0"/>
          <w:sz w:val="22"/>
        </w:rPr>
        <w:t>These charges are payable based on the actual price charged by the applicable third-party provider.</w:t>
      </w:r>
    </w:p>
    <w:tbl>
      <w:tblPr>
        <w:tblW w:type="auto" w:w="0"/>
        <w:jc w:val="center"/>
        <w:tblLayout w:type="fixed"/>
        <w:tblLook w:firstColumn="1" w:firstRow="1" w:lastColumn="0" w:lastRow="0" w:noHBand="0" w:noVBand="1" w:val="04A0"/>
      </w:tblPr>
      <w:tblGrid>
        <w:gridCol w:w="8640"/>
      </w:tblGrid>
      <w:tr>
        <w:tc>
          <w:tcPr>
            <w:tcW w:type="dxa" w:w="9360"/>
            <w:shd w:val="clear" w:fill="ECFDF5"/>
            <w:tcBorders>
              <w:left w:val="single" w:sz="24" w:space="0" w:color="059669"/>
              <w:top w:val="single" w:sz="4" w:space="0" w:color="A7F3D0"/>
              <w:bottom w:val="single" w:sz="4" w:space="0" w:color="A7F3D0"/>
              <w:right w:val="single" w:sz="4" w:space="0" w:color="A7F3D0"/>
            </w:tcBorders>
            <w:tcMar>
              <w:top w:w="120" w:type="dxa"/>
              <w:bottom w:w="120" w:type="dxa"/>
              <w:left w:w="140" w:type="dxa"/>
              <w:right w:w="140" w:type="dxa"/>
            </w:tcMar>
          </w:tcPr>
          <w:p>
            <w:pPr>
              <w:spacing w:after="40"/>
            </w:pPr>
            <w:r>
              <w:rPr>
                <w:b/>
                <w:color w:val="047857"/>
                <w:sz w:val="22"/>
              </w:rPr>
              <w:t>Domain and hosting costs are not included in the PKR 300,000 development and deployment fee.</w:t>
            </w:r>
          </w:p>
          <w:p>
            <w:pPr>
              <w:spacing w:after="0" w:before="40"/>
            </w:pPr>
            <w:r>
              <w:rPr>
                <w:color w:val="1F2937"/>
                <w:sz w:val="21"/>
              </w:rPr>
              <w:t>Third-party vendor prices are subject to change according to vendor policies, promotional pricing, renewal pricing, applicable taxes, currency exchange-rate fluctuations and other charges imposed by the respective service provider. Virtual Wisdom Technologies does not control third-party pricing or renewal rates.</w:t>
            </w:r>
          </w:p>
        </w:tc>
      </w:tr>
    </w:tbl>
    <w:p>
      <w:pPr>
        <w:spacing w:after="0" w:before="0" w:line="120" w:lineRule="exact"/>
      </w:pPr>
    </w:p>
    <w:p>
      <w:pPr>
        <w:pStyle w:val="Heading1"/>
        <w:spacing w:before="240" w:after="120"/>
        <w:pBdr>
          <w:bottom w:val="single" w:sz="8" w:space="6" w:color="059669"/>
        </w:pBdr>
      </w:pPr>
      <w:r>
        <w:t>7. Total Development &amp; Deployment Charges</w:t>
      </w:r>
    </w:p>
    <w:p>
      <w:pPr>
        <w:spacing w:after="160" w:before="0"/>
      </w:pPr>
      <w:r>
        <w:rPr>
          <w:b/>
          <w:i w:val="0"/>
          <w:color w:val="0F172A"/>
          <w:sz w:val="24"/>
        </w:rPr>
        <w:t xml:space="preserve">Total Agreed Software Development &amp; Deployment Value:  </w:t>
      </w:r>
      <w:r>
        <w:rPr>
          <w:b/>
          <w:i w:val="0"/>
          <w:color w:val="047857"/>
          <w:sz w:val="26"/>
        </w:rPr>
        <w:t>PKR 300,000</w:t>
      </w:r>
    </w:p>
    <w:p>
      <w:pPr>
        <w:spacing w:after="120" w:before="0"/>
      </w:pPr>
      <w:r>
        <w:rPr>
          <w:b w:val="0"/>
          <w:i w:val="0"/>
          <w:sz w:val="22"/>
        </w:rPr>
        <w:t>The amount is divided across four project phases: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880"/>
        <w:gridCol w:w="2880"/>
        <w:gridCol w:w="2880"/>
      </w:tblGrid>
      <w:tr>
        <w:tc>
          <w:tcPr>
            <w:tcW w:type="dxa" w:w="1440"/>
            <w:shd w:val="clear" w:fill="0F172A"/>
            <w:tcMar>
              <w:top w:w="60" w:type="dxa"/>
              <w:bottom w:w="60" w:type="dxa"/>
              <w:left w:w="100" w:type="dxa"/>
              <w:right w:w="100" w:type="dxa"/>
            </w:tcMar>
          </w:tcPr>
          <w:p>
            <w:pPr>
              <w:spacing w:after="0" w:before="0"/>
              <w:jc w:val="left"/>
            </w:pPr>
            <w:r/>
            <w:r>
              <w:rPr>
                <w:b/>
                <w:i w:val="0"/>
                <w:color w:val="FFFFFF"/>
                <w:sz w:val="21"/>
              </w:rPr>
              <w:t>Phase</w:t>
            </w:r>
          </w:p>
        </w:tc>
        <w:tc>
          <w:tcPr>
            <w:tcW w:type="dxa" w:w="6048"/>
            <w:shd w:val="clear" w:fill="0F172A"/>
            <w:tcMar>
              <w:top w:w="60" w:type="dxa"/>
              <w:bottom w:w="60" w:type="dxa"/>
              <w:left w:w="100" w:type="dxa"/>
              <w:right w:w="100" w:type="dxa"/>
            </w:tcMar>
          </w:tcPr>
          <w:p>
            <w:pPr>
              <w:spacing w:after="0" w:before="0"/>
              <w:jc w:val="left"/>
            </w:pPr>
            <w:r/>
            <w:r>
              <w:rPr>
                <w:b/>
                <w:i w:val="0"/>
                <w:color w:val="FFFFFF"/>
                <w:sz w:val="21"/>
              </w:rPr>
              <w:t>Scope</w:t>
            </w:r>
          </w:p>
        </w:tc>
        <w:tc>
          <w:tcPr>
            <w:tcW w:type="dxa" w:w="1872"/>
            <w:shd w:val="clear" w:fill="0F172A"/>
            <w:tcMar>
              <w:top w:w="60" w:type="dxa"/>
              <w:bottom w:w="60" w:type="dxa"/>
              <w:left w:w="100" w:type="dxa"/>
              <w:right w:w="100" w:type="dxa"/>
            </w:tcMar>
          </w:tcPr>
          <w:p>
            <w:pPr>
              <w:spacing w:after="0" w:before="0"/>
              <w:jc w:val="right"/>
            </w:pPr>
            <w:r/>
            <w:r>
              <w:rPr>
                <w:b/>
                <w:i w:val="0"/>
                <w:color w:val="FFFFFF"/>
                <w:sz w:val="21"/>
              </w:rPr>
              <w:t>Amount</w:t>
            </w:r>
          </w:p>
        </w:tc>
      </w:tr>
      <w:tr>
        <w:tc>
          <w:tcPr>
            <w:tcW w:type="dxa" w:w="1440"/>
            <w:tcMar>
              <w:top w:w="60" w:type="dxa"/>
              <w:bottom w:w="60" w:type="dxa"/>
              <w:left w:w="100" w:type="dxa"/>
              <w:right w:w="100" w:type="dxa"/>
            </w:tcMar>
          </w:tcPr>
          <w:p>
            <w:pPr>
              <w:spacing w:after="0" w:before="0"/>
              <w:jc w:val="left"/>
            </w:pPr>
            <w:r/>
            <w:r>
              <w:rPr>
                <w:b w:val="0"/>
                <w:i w:val="0"/>
                <w:color w:val="1F2937"/>
                <w:sz w:val="21"/>
              </w:rPr>
              <w:t>Phase 1</w:t>
            </w:r>
          </w:p>
        </w:tc>
        <w:tc>
          <w:tcPr>
            <w:tcW w:type="dxa" w:w="6048"/>
            <w:tcMar>
              <w:top w:w="60" w:type="dxa"/>
              <w:bottom w:w="60" w:type="dxa"/>
              <w:left w:w="100" w:type="dxa"/>
              <w:right w:w="100" w:type="dxa"/>
            </w:tcMar>
          </w:tcPr>
          <w:p>
            <w:pPr>
              <w:spacing w:after="0" w:before="0"/>
              <w:jc w:val="left"/>
            </w:pPr>
            <w:r/>
            <w:r>
              <w:rPr>
                <w:b w:val="0"/>
                <w:i w:val="0"/>
                <w:color w:val="1F2937"/>
                <w:sz w:val="21"/>
              </w:rPr>
              <w:t>Existing WHMIS Core System – Production Deployment</w:t>
            </w:r>
          </w:p>
        </w:tc>
        <w:tc>
          <w:tcPr>
            <w:tcW w:type="dxa" w:w="1872"/>
            <w:tcMar>
              <w:top w:w="60" w:type="dxa"/>
              <w:bottom w:w="60" w:type="dxa"/>
              <w:left w:w="100" w:type="dxa"/>
              <w:right w:w="100" w:type="dxa"/>
            </w:tcMar>
          </w:tcPr>
          <w:p>
            <w:pPr>
              <w:spacing w:after="0" w:before="0"/>
              <w:jc w:val="right"/>
            </w:pPr>
            <w:r/>
            <w:r>
              <w:rPr>
                <w:b w:val="0"/>
                <w:i w:val="0"/>
                <w:color w:val="1F2937"/>
                <w:sz w:val="21"/>
              </w:rPr>
              <w:t>PKR 100,000</w:t>
            </w:r>
          </w:p>
        </w:tc>
      </w:tr>
      <w:tr>
        <w:tc>
          <w:tcPr>
            <w:tcW w:type="dxa" w:w="1440"/>
            <w:shd w:val="clear" w:fill="F9FAFB"/>
            <w:tcMar>
              <w:top w:w="60" w:type="dxa"/>
              <w:bottom w:w="60" w:type="dxa"/>
              <w:left w:w="100" w:type="dxa"/>
              <w:right w:w="100" w:type="dxa"/>
            </w:tcMar>
          </w:tcPr>
          <w:p>
            <w:pPr>
              <w:spacing w:after="0" w:before="0"/>
              <w:jc w:val="left"/>
            </w:pPr>
            <w:r/>
            <w:r>
              <w:rPr>
                <w:b w:val="0"/>
                <w:i w:val="0"/>
                <w:color w:val="1F2937"/>
                <w:sz w:val="21"/>
              </w:rPr>
              <w:t>Phase 2</w:t>
            </w:r>
          </w:p>
        </w:tc>
        <w:tc>
          <w:tcPr>
            <w:tcW w:type="dxa" w:w="6048"/>
            <w:shd w:val="clear" w:fill="F9FAFB"/>
            <w:tcMar>
              <w:top w:w="60" w:type="dxa"/>
              <w:bottom w:w="60" w:type="dxa"/>
              <w:left w:w="100" w:type="dxa"/>
              <w:right w:w="100" w:type="dxa"/>
            </w:tcMar>
          </w:tcPr>
          <w:p>
            <w:pPr>
              <w:spacing w:after="0" w:before="0"/>
              <w:jc w:val="left"/>
            </w:pPr>
            <w:r/>
            <w:r>
              <w:rPr>
                <w:b w:val="0"/>
                <w:i w:val="0"/>
                <w:color w:val="1F2937"/>
                <w:sz w:val="21"/>
              </w:rPr>
              <w:t>HR, Employees &amp; Payroll Module</w:t>
            </w:r>
          </w:p>
        </w:tc>
        <w:tc>
          <w:tcPr>
            <w:tcW w:type="dxa" w:w="1872"/>
            <w:shd w:val="clear" w:fill="F9FAFB"/>
            <w:tcMar>
              <w:top w:w="60" w:type="dxa"/>
              <w:bottom w:w="60" w:type="dxa"/>
              <w:left w:w="100" w:type="dxa"/>
              <w:right w:w="100" w:type="dxa"/>
            </w:tcMar>
          </w:tcPr>
          <w:p>
            <w:pPr>
              <w:spacing w:after="0" w:before="0"/>
              <w:jc w:val="right"/>
            </w:pPr>
            <w:r/>
            <w:r>
              <w:rPr>
                <w:b w:val="0"/>
                <w:i w:val="0"/>
                <w:color w:val="1F2937"/>
                <w:sz w:val="21"/>
              </w:rPr>
              <w:t>PKR 60,000</w:t>
            </w:r>
          </w:p>
        </w:tc>
      </w:tr>
      <w:tr>
        <w:tc>
          <w:tcPr>
            <w:tcW w:type="dxa" w:w="1440"/>
            <w:tcMar>
              <w:top w:w="60" w:type="dxa"/>
              <w:bottom w:w="60" w:type="dxa"/>
              <w:left w:w="100" w:type="dxa"/>
              <w:right w:w="100" w:type="dxa"/>
            </w:tcMar>
          </w:tcPr>
          <w:p>
            <w:pPr>
              <w:spacing w:after="0" w:before="0"/>
              <w:jc w:val="left"/>
            </w:pPr>
            <w:r/>
            <w:r>
              <w:rPr>
                <w:b w:val="0"/>
                <w:i w:val="0"/>
                <w:color w:val="1F2937"/>
                <w:sz w:val="21"/>
              </w:rPr>
              <w:t>Phase 3</w:t>
            </w:r>
          </w:p>
        </w:tc>
        <w:tc>
          <w:tcPr>
            <w:tcW w:type="dxa" w:w="6048"/>
            <w:tcMar>
              <w:top w:w="60" w:type="dxa"/>
              <w:bottom w:w="60" w:type="dxa"/>
              <w:left w:w="100" w:type="dxa"/>
              <w:right w:w="100" w:type="dxa"/>
            </w:tcMar>
          </w:tcPr>
          <w:p>
            <w:pPr>
              <w:spacing w:after="0" w:before="0"/>
              <w:jc w:val="left"/>
            </w:pPr>
            <w:r/>
            <w:r>
              <w:rPr>
                <w:b w:val="0"/>
                <w:i w:val="0"/>
                <w:color w:val="1F2937"/>
                <w:sz w:val="21"/>
              </w:rPr>
              <w:t>Medical Representatives, Doctors &amp; Field Visit Management</w:t>
            </w:r>
          </w:p>
        </w:tc>
        <w:tc>
          <w:tcPr>
            <w:tcW w:type="dxa" w:w="1872"/>
            <w:tcMar>
              <w:top w:w="60" w:type="dxa"/>
              <w:bottom w:w="60" w:type="dxa"/>
              <w:left w:w="100" w:type="dxa"/>
              <w:right w:w="100" w:type="dxa"/>
            </w:tcMar>
          </w:tcPr>
          <w:p>
            <w:pPr>
              <w:spacing w:after="0" w:before="0"/>
              <w:jc w:val="right"/>
            </w:pPr>
            <w:r/>
            <w:r>
              <w:rPr>
                <w:b w:val="0"/>
                <w:i w:val="0"/>
                <w:color w:val="1F2937"/>
                <w:sz w:val="21"/>
              </w:rPr>
              <w:t>PKR 70,000</w:t>
            </w:r>
          </w:p>
        </w:tc>
      </w:tr>
      <w:tr>
        <w:tc>
          <w:tcPr>
            <w:tcW w:type="dxa" w:w="1440"/>
            <w:shd w:val="clear" w:fill="F9FAFB"/>
            <w:tcMar>
              <w:top w:w="60" w:type="dxa"/>
              <w:bottom w:w="60" w:type="dxa"/>
              <w:left w:w="100" w:type="dxa"/>
              <w:right w:w="100" w:type="dxa"/>
            </w:tcMar>
          </w:tcPr>
          <w:p>
            <w:pPr>
              <w:spacing w:after="0" w:before="0"/>
              <w:jc w:val="left"/>
            </w:pPr>
            <w:r/>
            <w:r>
              <w:rPr>
                <w:b w:val="0"/>
                <w:i w:val="0"/>
                <w:color w:val="1F2937"/>
                <w:sz w:val="21"/>
              </w:rPr>
              <w:t>Phase 4</w:t>
            </w:r>
          </w:p>
        </w:tc>
        <w:tc>
          <w:tcPr>
            <w:tcW w:type="dxa" w:w="6048"/>
            <w:shd w:val="clear" w:fill="F9FAFB"/>
            <w:tcMar>
              <w:top w:w="60" w:type="dxa"/>
              <w:bottom w:w="60" w:type="dxa"/>
              <w:left w:w="100" w:type="dxa"/>
              <w:right w:w="100" w:type="dxa"/>
            </w:tcMar>
          </w:tcPr>
          <w:p>
            <w:pPr>
              <w:spacing w:after="0" w:before="0"/>
              <w:jc w:val="left"/>
            </w:pPr>
            <w:r/>
            <w:r>
              <w:rPr>
                <w:b w:val="0"/>
                <w:i w:val="0"/>
                <w:color w:val="1F2937"/>
                <w:sz w:val="21"/>
              </w:rPr>
              <w:t>Doctor Activities, Financial Records, Samples, Integration &amp; Final Enhancements</w:t>
            </w:r>
          </w:p>
        </w:tc>
        <w:tc>
          <w:tcPr>
            <w:tcW w:type="dxa" w:w="1872"/>
            <w:shd w:val="clear" w:fill="F9FAFB"/>
            <w:tcMar>
              <w:top w:w="60" w:type="dxa"/>
              <w:bottom w:w="60" w:type="dxa"/>
              <w:left w:w="100" w:type="dxa"/>
              <w:right w:w="100" w:type="dxa"/>
            </w:tcMar>
          </w:tcPr>
          <w:p>
            <w:pPr>
              <w:spacing w:after="0" w:before="0"/>
              <w:jc w:val="right"/>
            </w:pPr>
            <w:r/>
            <w:r>
              <w:rPr>
                <w:b w:val="0"/>
                <w:i w:val="0"/>
                <w:color w:val="1F2937"/>
                <w:sz w:val="21"/>
              </w:rPr>
              <w:t>PKR 70,000</w:t>
            </w:r>
          </w:p>
        </w:tc>
      </w:tr>
      <w:tr>
        <w:tc>
          <w:tcPr>
            <w:tcW w:type="dxa" w:w="1440"/>
            <w:shd w:val="clear" w:fill="E5E7EB"/>
            <w:tcMar>
              <w:top w:w="60" w:type="dxa"/>
              <w:bottom w:w="60" w:type="dxa"/>
              <w:left w:w="100" w:type="dxa"/>
              <w:right w:w="100" w:type="dxa"/>
            </w:tcMar>
          </w:tcPr>
          <w:p>
            <w:pPr>
              <w:spacing w:after="0" w:before="0"/>
              <w:jc w:val="left"/>
            </w:pPr>
            <w:r/>
            <w:r>
              <w:rPr>
                <w:b/>
                <w:i w:val="0"/>
                <w:color w:val="0F172A"/>
                <w:sz w:val="21"/>
              </w:rPr>
              <w:t>Total</w:t>
            </w:r>
          </w:p>
        </w:tc>
        <w:tc>
          <w:tcPr>
            <w:tcW w:type="dxa" w:w="6048"/>
            <w:shd w:val="clear" w:fill="E5E7EB"/>
            <w:tcMar>
              <w:top w:w="60" w:type="dxa"/>
              <w:bottom w:w="60" w:type="dxa"/>
              <w:left w:w="100" w:type="dxa"/>
              <w:right w:w="100" w:type="dxa"/>
            </w:tcMar>
          </w:tcPr>
          <w:p>
            <w:pPr>
              <w:spacing w:after="0" w:before="0"/>
              <w:jc w:val="left"/>
            </w:pPr>
            <w:r/>
            <w:r>
              <w:rPr>
                <w:b/>
                <w:i w:val="0"/>
                <w:color w:val="0F172A"/>
                <w:sz w:val="21"/>
              </w:rPr>
              <w:t>Complete Agreed Development &amp; Deployment Scope</w:t>
            </w:r>
          </w:p>
        </w:tc>
        <w:tc>
          <w:tcPr>
            <w:tcW w:type="dxa" w:w="1872"/>
            <w:shd w:val="clear" w:fill="E5E7EB"/>
            <w:tcMar>
              <w:top w:w="60" w:type="dxa"/>
              <w:bottom w:w="60" w:type="dxa"/>
              <w:left w:w="100" w:type="dxa"/>
              <w:right w:w="100" w:type="dxa"/>
            </w:tcMar>
          </w:tcPr>
          <w:p>
            <w:pPr>
              <w:spacing w:after="0" w:before="0"/>
              <w:jc w:val="right"/>
            </w:pPr>
            <w:r/>
            <w:r>
              <w:rPr>
                <w:b/>
                <w:i w:val="0"/>
                <w:color w:val="0F172A"/>
                <w:sz w:val="21"/>
              </w:rPr>
              <w:t>PKR 300,000</w:t>
            </w:r>
          </w:p>
        </w:tc>
      </w:tr>
    </w:tbl>
    <w:p>
      <w:pPr>
        <w:spacing w:after="0" w:before="0" w:line="160" w:lineRule="exact"/>
      </w:pPr>
    </w:p>
    <w:p>
      <w:pPr>
        <w:spacing w:after="160" w:before="0"/>
      </w:pPr>
      <w:r>
        <w:rPr>
          <w:b/>
          <w:i w:val="0"/>
          <w:color w:val="0F172A"/>
          <w:sz w:val="22"/>
        </w:rPr>
        <w:t xml:space="preserve">Note:  </w:t>
      </w:r>
      <w:r>
        <w:rPr>
          <w:b/>
          <w:i w:val="0"/>
          <w:sz w:val="22"/>
        </w:rPr>
        <w:t>Domain registration, hosting and any approved third-party services are charged separately.</w:t>
      </w:r>
    </w:p>
    <w:p>
      <w:pPr>
        <w:pStyle w:val="Heading1"/>
        <w:spacing w:before="240" w:after="120"/>
        <w:pBdr>
          <w:bottom w:val="single" w:sz="8" w:space="6" w:color="059669"/>
        </w:pBdr>
      </w:pPr>
      <w:r>
        <w:t>8. Payment Schedule</w:t>
      </w:r>
    </w:p>
    <w:p>
      <w:pPr>
        <w:spacing w:before="160" w:after="60"/>
      </w:pPr>
      <w:r>
        <w:rPr>
          <w:b/>
          <w:color w:val="0F172A"/>
          <w:sz w:val="23"/>
        </w:rPr>
        <w:t>Milestone 1 – Phase 1</w:t>
      </w:r>
    </w:p>
    <w:p>
      <w:pPr>
        <w:spacing w:after="80" w:before="0"/>
      </w:pPr>
      <w:r>
        <w:rPr>
          <w:b/>
          <w:i w:val="0"/>
          <w:color w:val="0F172A"/>
          <w:sz w:val="22"/>
        </w:rPr>
        <w:t xml:space="preserve">Amount:  </w:t>
      </w:r>
      <w:r>
        <w:rPr>
          <w:b/>
          <w:i w:val="0"/>
          <w:color w:val="047857"/>
          <w:sz w:val="24"/>
        </w:rPr>
        <w:t>PKR 100,000</w:t>
      </w:r>
    </w:p>
    <w:p>
      <w:pPr>
        <w:spacing w:after="80" w:before="0"/>
      </w:pPr>
      <w:r>
        <w:rPr>
          <w:b/>
          <w:i w:val="0"/>
          <w:color w:val="0F172A"/>
          <w:sz w:val="22"/>
        </w:rPr>
        <w:t xml:space="preserve">Purpose:  </w:t>
      </w:r>
      <w:r>
        <w:rPr>
          <w:b w:val="0"/>
          <w:i w:val="0"/>
          <w:sz w:val="22"/>
        </w:rPr>
        <w:t>Deployment of the currently completed Phase 1 WHMIS system into the production cloud environment.</w:t>
      </w:r>
    </w:p>
    <w:p>
      <w:pPr>
        <w:spacing w:after="80" w:before="0"/>
      </w:pPr>
      <w:r>
        <w:rPr>
          <w:b/>
          <w:i w:val="0"/>
          <w:color w:val="0F172A"/>
          <w:sz w:val="22"/>
        </w:rPr>
        <w:t xml:space="preserve">Payment Due:  </w:t>
      </w:r>
      <w:r>
        <w:rPr>
          <w:b w:val="0"/>
          <w:i w:val="0"/>
          <w:sz w:val="22"/>
        </w:rPr>
        <w:t>Before commencement/finalization of production deployment.</w:t>
      </w:r>
    </w:p>
    <w:p>
      <w:pPr>
        <w:spacing w:after="80" w:before="0"/>
      </w:pPr>
      <w:r>
        <w:rPr>
          <w:b w:val="0"/>
          <w:i w:val="0"/>
          <w:sz w:val="22"/>
        </w:rPr>
        <w:t>Phase 1 production deployment will proceed after:</w:t>
      </w:r>
    </w:p>
    <w:p>
      <w:pPr>
        <w:pStyle w:val="ListBullet"/>
        <w:spacing w:after="80"/>
      </w:pPr>
      <w:r>
        <w:t>Approval of this document.</w:t>
      </w:r>
    </w:p>
    <w:p>
      <w:pPr>
        <w:pStyle w:val="ListBullet"/>
        <w:spacing w:after="80"/>
      </w:pPr>
      <w:r>
        <w:t>Receipt of PKR 100,000 Phase 1 payment.</w:t>
      </w:r>
    </w:p>
    <w:p>
      <w:pPr>
        <w:pStyle w:val="ListBullet"/>
        <w:spacing w:after="80"/>
      </w:pPr>
      <w:r>
        <w:t>Approval of the selected domain.</w:t>
      </w:r>
    </w:p>
    <w:p>
      <w:pPr>
        <w:pStyle w:val="ListBullet"/>
        <w:spacing w:after="80"/>
      </w:pPr>
      <w:r>
        <w:t>Approval of the recommended hosting plan.</w:t>
      </w:r>
    </w:p>
    <w:p>
      <w:pPr>
        <w:pStyle w:val="ListBullet"/>
        <w:spacing w:after="80"/>
      </w:pPr>
      <w:r>
        <w:t>Payment/authorization of third-party domain and hosting charges.</w:t>
      </w:r>
    </w:p>
    <w:p>
      <w:pPr>
        <w:pStyle w:val="ListBullet"/>
        <w:spacing w:after="80"/>
      </w:pPr>
      <w:r>
        <w:t>Provision of any essential business information required for production setup.</w:t>
      </w:r>
    </w:p>
    <w:p>
      <w:pPr>
        <w:spacing w:before="160" w:after="60"/>
      </w:pPr>
      <w:r>
        <w:rPr>
          <w:b/>
          <w:color w:val="0F172A"/>
          <w:sz w:val="23"/>
        </w:rPr>
        <w:t>Milestone 2 – Phase 2</w:t>
      </w:r>
    </w:p>
    <w:p>
      <w:pPr>
        <w:spacing w:after="80" w:before="0"/>
      </w:pPr>
      <w:r>
        <w:rPr>
          <w:b/>
          <w:i w:val="0"/>
          <w:color w:val="0F172A"/>
          <w:sz w:val="22"/>
        </w:rPr>
        <w:t xml:space="preserve">Amount:  </w:t>
      </w:r>
      <w:r>
        <w:rPr>
          <w:b/>
          <w:i w:val="0"/>
          <w:color w:val="047857"/>
          <w:sz w:val="24"/>
        </w:rPr>
        <w:t>PKR 60,000</w:t>
      </w:r>
    </w:p>
    <w:p>
      <w:pPr>
        <w:spacing w:after="80" w:before="0"/>
      </w:pPr>
      <w:r>
        <w:rPr>
          <w:b/>
          <w:i w:val="0"/>
          <w:color w:val="0F172A"/>
          <w:sz w:val="22"/>
        </w:rPr>
        <w:t xml:space="preserve">Scope:  </w:t>
      </w:r>
      <w:r>
        <w:rPr>
          <w:b w:val="0"/>
          <w:i w:val="0"/>
          <w:sz w:val="22"/>
        </w:rPr>
        <w:t>HR, Employee and Payroll Module.</w:t>
      </w:r>
    </w:p>
    <w:p>
      <w:pPr>
        <w:spacing w:after="80" w:before="0"/>
      </w:pPr>
      <w:r>
        <w:rPr>
          <w:b/>
          <w:i w:val="0"/>
          <w:color w:val="0F172A"/>
          <w:sz w:val="22"/>
        </w:rPr>
        <w:t xml:space="preserve">Payment Trigger:  </w:t>
      </w:r>
      <w:r>
        <w:rPr>
          <w:b w:val="0"/>
          <w:i w:val="0"/>
          <w:sz w:val="22"/>
        </w:rPr>
        <w:t>Before commencement of Phase 2 development after completion/deployment of Phase 1 and authorization to proceed.</w:t>
      </w:r>
    </w:p>
    <w:p>
      <w:pPr>
        <w:spacing w:before="160" w:after="60"/>
      </w:pPr>
      <w:r>
        <w:rPr>
          <w:b/>
          <w:color w:val="0F172A"/>
          <w:sz w:val="23"/>
        </w:rPr>
        <w:t>Milestone 3 – Phase 3</w:t>
      </w:r>
    </w:p>
    <w:p>
      <w:pPr>
        <w:spacing w:after="80" w:before="0"/>
      </w:pPr>
      <w:r>
        <w:rPr>
          <w:b/>
          <w:i w:val="0"/>
          <w:color w:val="0F172A"/>
          <w:sz w:val="22"/>
        </w:rPr>
        <w:t xml:space="preserve">Amount:  </w:t>
      </w:r>
      <w:r>
        <w:rPr>
          <w:b/>
          <w:i w:val="0"/>
          <w:color w:val="047857"/>
          <w:sz w:val="24"/>
        </w:rPr>
        <w:t>PKR 70,000</w:t>
      </w:r>
    </w:p>
    <w:p>
      <w:pPr>
        <w:spacing w:after="80" w:before="0"/>
      </w:pPr>
      <w:r>
        <w:rPr>
          <w:b/>
          <w:i w:val="0"/>
          <w:color w:val="0F172A"/>
          <w:sz w:val="22"/>
        </w:rPr>
        <w:t xml:space="preserve">Scope:  </w:t>
      </w:r>
      <w:r>
        <w:rPr>
          <w:b w:val="0"/>
          <w:i w:val="0"/>
          <w:sz w:val="22"/>
        </w:rPr>
        <w:t>Medical Representative, Doctor and Field Visit Management.</w:t>
      </w:r>
    </w:p>
    <w:p>
      <w:pPr>
        <w:spacing w:after="80" w:before="0"/>
      </w:pPr>
      <w:r>
        <w:rPr>
          <w:b/>
          <w:i w:val="0"/>
          <w:color w:val="0F172A"/>
          <w:sz w:val="22"/>
        </w:rPr>
        <w:t xml:space="preserve">Payment Trigger:  </w:t>
      </w:r>
      <w:r>
        <w:rPr>
          <w:b w:val="0"/>
          <w:i w:val="0"/>
          <w:sz w:val="22"/>
        </w:rPr>
        <w:t>Before commencement of Phase 3 after review/acceptance of Phase 2 and authorization to proceed.</w:t>
      </w:r>
    </w:p>
    <w:p>
      <w:pPr>
        <w:spacing w:before="160" w:after="60"/>
      </w:pPr>
      <w:r>
        <w:rPr>
          <w:b/>
          <w:color w:val="0F172A"/>
          <w:sz w:val="23"/>
        </w:rPr>
        <w:t>Milestone 4 – Phase 4</w:t>
      </w:r>
    </w:p>
    <w:p>
      <w:pPr>
        <w:spacing w:after="80" w:before="0"/>
      </w:pPr>
      <w:r>
        <w:rPr>
          <w:b/>
          <w:i w:val="0"/>
          <w:color w:val="0F172A"/>
          <w:sz w:val="22"/>
        </w:rPr>
        <w:t xml:space="preserve">Amount:  </w:t>
      </w:r>
      <w:r>
        <w:rPr>
          <w:b/>
          <w:i w:val="0"/>
          <w:color w:val="047857"/>
          <w:sz w:val="24"/>
        </w:rPr>
        <w:t>PKR 70,000</w:t>
      </w:r>
    </w:p>
    <w:p>
      <w:pPr>
        <w:spacing w:after="80" w:before="0"/>
      </w:pPr>
      <w:r>
        <w:rPr>
          <w:b/>
          <w:i w:val="0"/>
          <w:color w:val="0F172A"/>
          <w:sz w:val="22"/>
        </w:rPr>
        <w:t xml:space="preserve">Scope:  </w:t>
      </w:r>
      <w:r>
        <w:rPr>
          <w:b w:val="0"/>
          <w:i w:val="0"/>
          <w:sz w:val="22"/>
        </w:rPr>
        <w:t>Doctor Activity &amp; Financial Records, Sample Management, Integration and Final Enhancements.</w:t>
      </w:r>
    </w:p>
    <w:p>
      <w:pPr>
        <w:spacing w:after="80" w:before="0"/>
      </w:pPr>
      <w:r>
        <w:rPr>
          <w:b/>
          <w:i w:val="0"/>
          <w:color w:val="0F172A"/>
          <w:sz w:val="22"/>
        </w:rPr>
        <w:t xml:space="preserve">Payment Trigger:  </w:t>
      </w:r>
      <w:r>
        <w:rPr>
          <w:b w:val="0"/>
          <w:i w:val="0"/>
          <w:sz w:val="22"/>
        </w:rPr>
        <w:t>Before commencement of Phase 4 after review/acceptance of Phase 3 and authorization to proceed.</w:t>
      </w:r>
    </w:p>
    <w:p>
      <w:pPr>
        <w:spacing w:after="0" w:before="0" w:line="120" w:lineRule="exact"/>
      </w:pPr>
    </w:p>
    <w:p>
      <w:pPr>
        <w:pStyle w:val="Heading1"/>
        <w:spacing w:before="240" w:after="120"/>
        <w:pBdr>
          <w:bottom w:val="single" w:sz="8" w:space="6" w:color="059669"/>
        </w:pBdr>
      </w:pPr>
      <w:r>
        <w:t>9. Payment Summary</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6192"/>
            <w:tcMar>
              <w:top w:w="60" w:type="dxa"/>
              <w:bottom w:w="60" w:type="dxa"/>
              <w:left w:w="100" w:type="dxa"/>
              <w:right w:w="100" w:type="dxa"/>
            </w:tcMar>
          </w:tcPr>
          <w:p>
            <w:pPr>
              <w:spacing w:after="0" w:before="0"/>
              <w:jc w:val="left"/>
            </w:pPr>
            <w:r/>
            <w:r>
              <w:rPr>
                <w:b w:val="0"/>
                <w:i w:val="0"/>
                <w:color w:val="1F2937"/>
                <w:sz w:val="21"/>
              </w:rPr>
              <w:t>Phase 1</w:t>
            </w:r>
          </w:p>
        </w:tc>
        <w:tc>
          <w:tcPr>
            <w:tcW w:type="dxa" w:w="3168"/>
            <w:tcMar>
              <w:top w:w="60" w:type="dxa"/>
              <w:bottom w:w="60" w:type="dxa"/>
              <w:left w:w="100" w:type="dxa"/>
              <w:right w:w="100" w:type="dxa"/>
            </w:tcMar>
          </w:tcPr>
          <w:p>
            <w:pPr>
              <w:spacing w:after="0" w:before="0"/>
              <w:jc w:val="right"/>
            </w:pPr>
            <w:r/>
            <w:r>
              <w:rPr>
                <w:b w:val="0"/>
                <w:i w:val="0"/>
                <w:color w:val="1F2937"/>
                <w:sz w:val="21"/>
              </w:rPr>
              <w:t>PKR 100,000</w:t>
            </w:r>
          </w:p>
        </w:tc>
      </w:tr>
      <w:tr>
        <w:tc>
          <w:tcPr>
            <w:tcW w:type="dxa" w:w="6192"/>
            <w:tcMar>
              <w:top w:w="60" w:type="dxa"/>
              <w:bottom w:w="60" w:type="dxa"/>
              <w:left w:w="100" w:type="dxa"/>
              <w:right w:w="100" w:type="dxa"/>
            </w:tcMar>
            <w:shd w:val="clear" w:fill="F9FAFB"/>
          </w:tcPr>
          <w:p>
            <w:pPr>
              <w:spacing w:after="0" w:before="0"/>
              <w:jc w:val="left"/>
            </w:pPr>
            <w:r/>
            <w:r>
              <w:rPr>
                <w:b w:val="0"/>
                <w:i w:val="0"/>
                <w:color w:val="1F2937"/>
                <w:sz w:val="21"/>
              </w:rPr>
              <w:t>Phase 2</w:t>
            </w:r>
          </w:p>
        </w:tc>
        <w:tc>
          <w:tcPr>
            <w:tcW w:type="dxa" w:w="3168"/>
            <w:tcMar>
              <w:top w:w="60" w:type="dxa"/>
              <w:bottom w:w="60" w:type="dxa"/>
              <w:left w:w="100" w:type="dxa"/>
              <w:right w:w="100" w:type="dxa"/>
            </w:tcMar>
            <w:shd w:val="clear" w:fill="F9FAFB"/>
          </w:tcPr>
          <w:p>
            <w:pPr>
              <w:spacing w:after="0" w:before="0"/>
              <w:jc w:val="right"/>
            </w:pPr>
            <w:r/>
            <w:r>
              <w:rPr>
                <w:b w:val="0"/>
                <w:i w:val="0"/>
                <w:color w:val="1F2937"/>
                <w:sz w:val="21"/>
              </w:rPr>
              <w:t>PKR 60,000</w:t>
            </w:r>
          </w:p>
        </w:tc>
      </w:tr>
      <w:tr>
        <w:tc>
          <w:tcPr>
            <w:tcW w:type="dxa" w:w="6192"/>
            <w:tcMar>
              <w:top w:w="60" w:type="dxa"/>
              <w:bottom w:w="60" w:type="dxa"/>
              <w:left w:w="100" w:type="dxa"/>
              <w:right w:w="100" w:type="dxa"/>
            </w:tcMar>
          </w:tcPr>
          <w:p>
            <w:pPr>
              <w:spacing w:after="0" w:before="0"/>
              <w:jc w:val="left"/>
            </w:pPr>
            <w:r/>
            <w:r>
              <w:rPr>
                <w:b w:val="0"/>
                <w:i w:val="0"/>
                <w:color w:val="1F2937"/>
                <w:sz w:val="21"/>
              </w:rPr>
              <w:t>Phase 3</w:t>
            </w:r>
          </w:p>
        </w:tc>
        <w:tc>
          <w:tcPr>
            <w:tcW w:type="dxa" w:w="3168"/>
            <w:tcMar>
              <w:top w:w="60" w:type="dxa"/>
              <w:bottom w:w="60" w:type="dxa"/>
              <w:left w:w="100" w:type="dxa"/>
              <w:right w:w="100" w:type="dxa"/>
            </w:tcMar>
          </w:tcPr>
          <w:p>
            <w:pPr>
              <w:spacing w:after="0" w:before="0"/>
              <w:jc w:val="right"/>
            </w:pPr>
            <w:r/>
            <w:r>
              <w:rPr>
                <w:b w:val="0"/>
                <w:i w:val="0"/>
                <w:color w:val="1F2937"/>
                <w:sz w:val="21"/>
              </w:rPr>
              <w:t>PKR 70,000</w:t>
            </w:r>
          </w:p>
        </w:tc>
      </w:tr>
      <w:tr>
        <w:tc>
          <w:tcPr>
            <w:tcW w:type="dxa" w:w="6192"/>
            <w:tcMar>
              <w:top w:w="60" w:type="dxa"/>
              <w:bottom w:w="60" w:type="dxa"/>
              <w:left w:w="100" w:type="dxa"/>
              <w:right w:w="100" w:type="dxa"/>
            </w:tcMar>
            <w:shd w:val="clear" w:fill="F9FAFB"/>
          </w:tcPr>
          <w:p>
            <w:pPr>
              <w:spacing w:after="0" w:before="0"/>
              <w:jc w:val="left"/>
            </w:pPr>
            <w:r/>
            <w:r>
              <w:rPr>
                <w:b w:val="0"/>
                <w:i w:val="0"/>
                <w:color w:val="1F2937"/>
                <w:sz w:val="21"/>
              </w:rPr>
              <w:t>Phase 4</w:t>
            </w:r>
          </w:p>
        </w:tc>
        <w:tc>
          <w:tcPr>
            <w:tcW w:type="dxa" w:w="3168"/>
            <w:tcMar>
              <w:top w:w="60" w:type="dxa"/>
              <w:bottom w:w="60" w:type="dxa"/>
              <w:left w:w="100" w:type="dxa"/>
              <w:right w:w="100" w:type="dxa"/>
            </w:tcMar>
            <w:shd w:val="clear" w:fill="F9FAFB"/>
          </w:tcPr>
          <w:p>
            <w:pPr>
              <w:spacing w:after="0" w:before="0"/>
              <w:jc w:val="right"/>
            </w:pPr>
            <w:r/>
            <w:r>
              <w:rPr>
                <w:b w:val="0"/>
                <w:i w:val="0"/>
                <w:color w:val="1F2937"/>
                <w:sz w:val="21"/>
              </w:rPr>
              <w:t>PKR 70,000</w:t>
            </w:r>
          </w:p>
        </w:tc>
      </w:tr>
      <w:tr>
        <w:tc>
          <w:tcPr>
            <w:tcW w:type="dxa" w:w="6192"/>
            <w:tcMar>
              <w:top w:w="60" w:type="dxa"/>
              <w:bottom w:w="60" w:type="dxa"/>
              <w:left w:w="100" w:type="dxa"/>
              <w:right w:w="100" w:type="dxa"/>
            </w:tcMar>
            <w:shd w:val="clear" w:fill="E5E7EB"/>
          </w:tcPr>
          <w:p>
            <w:pPr>
              <w:spacing w:after="0" w:before="0"/>
              <w:jc w:val="left"/>
            </w:pPr>
            <w:r/>
            <w:r>
              <w:rPr>
                <w:b/>
                <w:i w:val="0"/>
                <w:color w:val="0F172A"/>
                <w:sz w:val="21"/>
              </w:rPr>
              <w:t>Total Software Development &amp; Deployment</w:t>
            </w:r>
          </w:p>
        </w:tc>
        <w:tc>
          <w:tcPr>
            <w:tcW w:type="dxa" w:w="3168"/>
            <w:tcMar>
              <w:top w:w="60" w:type="dxa"/>
              <w:bottom w:w="60" w:type="dxa"/>
              <w:left w:w="100" w:type="dxa"/>
              <w:right w:w="100" w:type="dxa"/>
            </w:tcMar>
            <w:shd w:val="clear" w:fill="E5E7EB"/>
          </w:tcPr>
          <w:p>
            <w:pPr>
              <w:spacing w:after="0" w:before="0"/>
              <w:jc w:val="right"/>
            </w:pPr>
            <w:r/>
            <w:r>
              <w:rPr>
                <w:b/>
                <w:i w:val="0"/>
                <w:color w:val="0F172A"/>
                <w:sz w:val="21"/>
              </w:rPr>
              <w:t>PKR 300,000</w:t>
            </w:r>
          </w:p>
        </w:tc>
      </w:tr>
      <w:tr>
        <w:tc>
          <w:tcPr>
            <w:tcW w:type="dxa" w:w="6192"/>
            <w:tcMar>
              <w:top w:w="60" w:type="dxa"/>
              <w:bottom w:w="60" w:type="dxa"/>
              <w:left w:w="100" w:type="dxa"/>
              <w:right w:w="100" w:type="dxa"/>
            </w:tcMar>
            <w:shd w:val="clear" w:fill="F9FAFB"/>
          </w:tcPr>
          <w:p>
            <w:pPr>
              <w:spacing w:after="0" w:before="0"/>
              <w:jc w:val="left"/>
            </w:pPr>
            <w:r/>
            <w:r>
              <w:rPr>
                <w:b w:val="0"/>
                <w:i w:val="0"/>
                <w:color w:val="1F2937"/>
                <w:sz w:val="21"/>
              </w:rPr>
              <w:t>Domain</w:t>
            </w:r>
          </w:p>
        </w:tc>
        <w:tc>
          <w:tcPr>
            <w:tcW w:type="dxa" w:w="3168"/>
            <w:tcMar>
              <w:top w:w="60" w:type="dxa"/>
              <w:bottom w:w="60" w:type="dxa"/>
              <w:left w:w="100" w:type="dxa"/>
              <w:right w:w="100" w:type="dxa"/>
            </w:tcMar>
            <w:shd w:val="clear" w:fill="F9FAFB"/>
          </w:tcPr>
          <w:p>
            <w:pPr>
              <w:spacing w:after="0" w:before="0"/>
              <w:jc w:val="right"/>
            </w:pPr>
            <w:r/>
            <w:r>
              <w:rPr>
                <w:b w:val="0"/>
                <w:i w:val="0"/>
                <w:color w:val="1F2937"/>
                <w:sz w:val="21"/>
              </w:rPr>
              <w:t>Separate – Actual Vendor Cost</w:t>
            </w:r>
          </w:p>
        </w:tc>
      </w:tr>
      <w:tr>
        <w:tc>
          <w:tcPr>
            <w:tcW w:type="dxa" w:w="6192"/>
            <w:tcMar>
              <w:top w:w="60" w:type="dxa"/>
              <w:bottom w:w="60" w:type="dxa"/>
              <w:left w:w="100" w:type="dxa"/>
              <w:right w:w="100" w:type="dxa"/>
            </w:tcMar>
          </w:tcPr>
          <w:p>
            <w:pPr>
              <w:spacing w:after="0" w:before="0"/>
              <w:jc w:val="left"/>
            </w:pPr>
            <w:r/>
            <w:r>
              <w:rPr>
                <w:b w:val="0"/>
                <w:i w:val="0"/>
                <w:color w:val="1F2937"/>
                <w:sz w:val="21"/>
              </w:rPr>
              <w:t>Hosting</w:t>
            </w:r>
          </w:p>
        </w:tc>
        <w:tc>
          <w:tcPr>
            <w:tcW w:type="dxa" w:w="3168"/>
            <w:tcMar>
              <w:top w:w="60" w:type="dxa"/>
              <w:bottom w:w="60" w:type="dxa"/>
              <w:left w:w="100" w:type="dxa"/>
              <w:right w:w="100" w:type="dxa"/>
            </w:tcMar>
          </w:tcPr>
          <w:p>
            <w:pPr>
              <w:spacing w:after="0" w:before="0"/>
              <w:jc w:val="right"/>
            </w:pPr>
            <w:r/>
            <w:r>
              <w:rPr>
                <w:b w:val="0"/>
                <w:i w:val="0"/>
                <w:color w:val="1F2937"/>
                <w:sz w:val="21"/>
              </w:rPr>
              <w:t>Separate – Actual Vendor Cost</w:t>
            </w:r>
          </w:p>
        </w:tc>
      </w:tr>
    </w:tbl>
    <w:p>
      <w:pPr>
        <w:spacing w:after="0" w:before="0" w:line="160" w:lineRule="exact"/>
      </w:pPr>
    </w:p>
    <w:p>
      <w:pPr>
        <w:pStyle w:val="Heading1"/>
        <w:spacing w:before="240" w:after="120"/>
        <w:pBdr>
          <w:bottom w:val="single" w:sz="8" w:space="6" w:color="059669"/>
        </w:pBdr>
      </w:pPr>
      <w:r>
        <w:t>10. Phase 1 Pre-Deployment &amp; Go-Live Schedule</w:t>
      </w:r>
    </w:p>
    <w:p>
      <w:pPr>
        <w:spacing w:after="120" w:before="0"/>
      </w:pPr>
      <w:r>
        <w:rPr>
          <w:b w:val="0"/>
          <w:i w:val="0"/>
          <w:sz w:val="22"/>
        </w:rPr>
        <w:t>Assuming commercial approval, Phase 1 payment and domain/hosting approval are completed by 24 August 2026, the proposed schedule is: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2736"/>
            <w:shd w:val="clear" w:fill="0F172A"/>
            <w:tcMar>
              <w:top w:w="60" w:type="dxa"/>
              <w:bottom w:w="60" w:type="dxa"/>
              <w:left w:w="100" w:type="dxa"/>
              <w:right w:w="100" w:type="dxa"/>
            </w:tcMar>
          </w:tcPr>
          <w:p>
            <w:pPr>
              <w:spacing w:after="0" w:before="0"/>
              <w:jc w:val="left"/>
            </w:pPr>
            <w:r/>
            <w:r>
              <w:rPr>
                <w:b/>
                <w:i w:val="0"/>
                <w:color w:val="FFFFFF"/>
                <w:sz w:val="21"/>
              </w:rPr>
              <w:t>Date</w:t>
            </w:r>
          </w:p>
        </w:tc>
        <w:tc>
          <w:tcPr>
            <w:tcW w:type="dxa" w:w="6624"/>
            <w:shd w:val="clear" w:fill="0F172A"/>
            <w:tcMar>
              <w:top w:w="60" w:type="dxa"/>
              <w:bottom w:w="60" w:type="dxa"/>
              <w:left w:w="100" w:type="dxa"/>
              <w:right w:w="100" w:type="dxa"/>
            </w:tcMar>
          </w:tcPr>
          <w:p>
            <w:pPr>
              <w:spacing w:after="0" w:before="0"/>
              <w:jc w:val="left"/>
            </w:pPr>
            <w:r/>
            <w:r>
              <w:rPr>
                <w:b/>
                <w:i w:val="0"/>
                <w:color w:val="FFFFFF"/>
                <w:sz w:val="21"/>
              </w:rPr>
              <w:t>Activity</w:t>
            </w:r>
          </w:p>
        </w:tc>
      </w:tr>
      <w:tr>
        <w:tc>
          <w:tcPr>
            <w:tcW w:type="dxa" w:w="2736"/>
            <w:tcMar>
              <w:top w:w="60" w:type="dxa"/>
              <w:bottom w:w="60" w:type="dxa"/>
              <w:left w:w="100" w:type="dxa"/>
              <w:right w:w="100" w:type="dxa"/>
            </w:tcMar>
          </w:tcPr>
          <w:p>
            <w:pPr>
              <w:spacing w:after="0" w:before="0"/>
              <w:jc w:val="left"/>
            </w:pPr>
            <w:r/>
            <w:r>
              <w:rPr>
                <w:b w:val="0"/>
                <w:i w:val="0"/>
                <w:color w:val="1F2937"/>
                <w:sz w:val="21"/>
              </w:rPr>
              <w:t>24 August 2026</w:t>
            </w:r>
          </w:p>
        </w:tc>
        <w:tc>
          <w:tcPr>
            <w:tcW w:type="dxa" w:w="6624"/>
            <w:tcMar>
              <w:top w:w="60" w:type="dxa"/>
              <w:bottom w:w="60" w:type="dxa"/>
              <w:left w:w="100" w:type="dxa"/>
              <w:right w:w="100" w:type="dxa"/>
            </w:tcMar>
          </w:tcPr>
          <w:p>
            <w:pPr>
              <w:spacing w:after="0" w:before="0"/>
              <w:jc w:val="left"/>
            </w:pPr>
            <w:r/>
            <w:r>
              <w:rPr>
                <w:b w:val="0"/>
                <w:i w:val="0"/>
                <w:color w:val="1F2937"/>
                <w:sz w:val="21"/>
              </w:rPr>
              <w:t>Commercial approval and Phase 1 payment confirmation</w:t>
            </w:r>
          </w:p>
        </w:tc>
      </w:tr>
      <w:tr>
        <w:tc>
          <w:tcPr>
            <w:tcW w:type="dxa" w:w="2736"/>
            <w:shd w:val="clear" w:fill="F9FAFB"/>
            <w:tcMar>
              <w:top w:w="60" w:type="dxa"/>
              <w:bottom w:w="60" w:type="dxa"/>
              <w:left w:w="100" w:type="dxa"/>
              <w:right w:w="100" w:type="dxa"/>
            </w:tcMar>
          </w:tcPr>
          <w:p>
            <w:pPr>
              <w:spacing w:after="0" w:before="0"/>
              <w:jc w:val="left"/>
            </w:pPr>
            <w:r/>
            <w:r>
              <w:rPr>
                <w:b w:val="0"/>
                <w:i w:val="0"/>
                <w:color w:val="1F2937"/>
                <w:sz w:val="21"/>
              </w:rPr>
              <w:t>24–25 August 2026</w:t>
            </w:r>
          </w:p>
        </w:tc>
        <w:tc>
          <w:tcPr>
            <w:tcW w:type="dxa" w:w="6624"/>
            <w:shd w:val="clear" w:fill="F9FAFB"/>
            <w:tcMar>
              <w:top w:w="60" w:type="dxa"/>
              <w:bottom w:w="60" w:type="dxa"/>
              <w:left w:w="100" w:type="dxa"/>
              <w:right w:w="100" w:type="dxa"/>
            </w:tcMar>
          </w:tcPr>
          <w:p>
            <w:pPr>
              <w:spacing w:after="0" w:before="0"/>
              <w:jc w:val="left"/>
            </w:pPr>
            <w:r/>
            <w:r>
              <w:rPr>
                <w:b w:val="0"/>
                <w:i w:val="0"/>
                <w:color w:val="1F2937"/>
                <w:sz w:val="21"/>
              </w:rPr>
              <w:t>Domain and hosting purchase/provisioning</w:t>
            </w:r>
          </w:p>
        </w:tc>
      </w:tr>
      <w:tr>
        <w:tc>
          <w:tcPr>
            <w:tcW w:type="dxa" w:w="2736"/>
            <w:tcMar>
              <w:top w:w="60" w:type="dxa"/>
              <w:bottom w:w="60" w:type="dxa"/>
              <w:left w:w="100" w:type="dxa"/>
              <w:right w:w="100" w:type="dxa"/>
            </w:tcMar>
          </w:tcPr>
          <w:p>
            <w:pPr>
              <w:spacing w:after="0" w:before="0"/>
              <w:jc w:val="left"/>
            </w:pPr>
            <w:r/>
            <w:r>
              <w:rPr>
                <w:b w:val="0"/>
                <w:i w:val="0"/>
                <w:color w:val="1F2937"/>
                <w:sz w:val="21"/>
              </w:rPr>
              <w:t>25–27 August 2026</w:t>
            </w:r>
          </w:p>
        </w:tc>
        <w:tc>
          <w:tcPr>
            <w:tcW w:type="dxa" w:w="6624"/>
            <w:tcMar>
              <w:top w:w="60" w:type="dxa"/>
              <w:bottom w:w="60" w:type="dxa"/>
              <w:left w:w="100" w:type="dxa"/>
              <w:right w:w="100" w:type="dxa"/>
            </w:tcMar>
          </w:tcPr>
          <w:p>
            <w:pPr>
              <w:spacing w:after="0" w:before="0"/>
              <w:jc w:val="left"/>
            </w:pPr>
            <w:r/>
            <w:r>
              <w:rPr>
                <w:b w:val="0"/>
                <w:i w:val="0"/>
                <w:color w:val="1F2937"/>
                <w:sz w:val="21"/>
              </w:rPr>
              <w:t>Production environment setup by Virtual Wisdom Technologies</w:t>
            </w:r>
          </w:p>
        </w:tc>
      </w:tr>
      <w:tr>
        <w:tc>
          <w:tcPr>
            <w:tcW w:type="dxa" w:w="2736"/>
            <w:shd w:val="clear" w:fill="F9FAFB"/>
            <w:tcMar>
              <w:top w:w="60" w:type="dxa"/>
              <w:bottom w:w="60" w:type="dxa"/>
              <w:left w:w="100" w:type="dxa"/>
              <w:right w:w="100" w:type="dxa"/>
            </w:tcMar>
          </w:tcPr>
          <w:p>
            <w:pPr>
              <w:spacing w:after="0" w:before="0"/>
              <w:jc w:val="left"/>
            </w:pPr>
            <w:r/>
            <w:r>
              <w:rPr>
                <w:b w:val="0"/>
                <w:i w:val="0"/>
                <w:color w:val="1F2937"/>
                <w:sz w:val="21"/>
              </w:rPr>
              <w:t>26–28 August 2026</w:t>
            </w:r>
          </w:p>
        </w:tc>
        <w:tc>
          <w:tcPr>
            <w:tcW w:type="dxa" w:w="6624"/>
            <w:shd w:val="clear" w:fill="F9FAFB"/>
            <w:tcMar>
              <w:top w:w="60" w:type="dxa"/>
              <w:bottom w:w="60" w:type="dxa"/>
              <w:left w:w="100" w:type="dxa"/>
              <w:right w:w="100" w:type="dxa"/>
            </w:tcMar>
          </w:tcPr>
          <w:p>
            <w:pPr>
              <w:spacing w:after="0" w:before="0"/>
              <w:jc w:val="left"/>
            </w:pPr>
            <w:r/>
            <w:r>
              <w:rPr>
                <w:b w:val="0"/>
                <w:i w:val="0"/>
                <w:color w:val="1F2937"/>
                <w:sz w:val="21"/>
              </w:rPr>
              <w:t>WHMIS application and database deployment</w:t>
            </w:r>
          </w:p>
        </w:tc>
      </w:tr>
      <w:tr>
        <w:tc>
          <w:tcPr>
            <w:tcW w:type="dxa" w:w="2736"/>
            <w:tcMar>
              <w:top w:w="60" w:type="dxa"/>
              <w:bottom w:w="60" w:type="dxa"/>
              <w:left w:w="100" w:type="dxa"/>
              <w:right w:w="100" w:type="dxa"/>
            </w:tcMar>
          </w:tcPr>
          <w:p>
            <w:pPr>
              <w:spacing w:after="0" w:before="0"/>
              <w:jc w:val="left"/>
            </w:pPr>
            <w:r/>
            <w:r>
              <w:rPr>
                <w:b w:val="0"/>
                <w:i w:val="0"/>
                <w:color w:val="1F2937"/>
                <w:sz w:val="21"/>
              </w:rPr>
              <w:t>28 August 2026</w:t>
            </w:r>
          </w:p>
        </w:tc>
        <w:tc>
          <w:tcPr>
            <w:tcW w:type="dxa" w:w="6624"/>
            <w:tcMar>
              <w:top w:w="60" w:type="dxa"/>
              <w:bottom w:w="60" w:type="dxa"/>
              <w:left w:w="100" w:type="dxa"/>
              <w:right w:w="100" w:type="dxa"/>
            </w:tcMar>
          </w:tcPr>
          <w:p>
            <w:pPr>
              <w:spacing w:after="0" w:before="0"/>
              <w:jc w:val="left"/>
            </w:pPr>
            <w:r/>
            <w:r>
              <w:rPr>
                <w:b w:val="0"/>
                <w:i w:val="0"/>
                <w:color w:val="1F2937"/>
                <w:sz w:val="21"/>
              </w:rPr>
              <w:t>Internal production verification</w:t>
            </w:r>
          </w:p>
        </w:tc>
      </w:tr>
      <w:tr>
        <w:tc>
          <w:tcPr>
            <w:tcW w:type="dxa" w:w="2736"/>
            <w:shd w:val="clear" w:fill="F9FAFB"/>
            <w:tcMar>
              <w:top w:w="60" w:type="dxa"/>
              <w:bottom w:w="60" w:type="dxa"/>
              <w:left w:w="100" w:type="dxa"/>
              <w:right w:w="100" w:type="dxa"/>
            </w:tcMar>
          </w:tcPr>
          <w:p>
            <w:pPr>
              <w:spacing w:after="0" w:before="0"/>
              <w:jc w:val="left"/>
            </w:pPr>
            <w:r/>
            <w:r>
              <w:rPr>
                <w:b w:val="0"/>
                <w:i w:val="0"/>
                <w:color w:val="1F2937"/>
                <w:sz w:val="21"/>
              </w:rPr>
              <w:t>29 August 2026</w:t>
            </w:r>
          </w:p>
        </w:tc>
        <w:tc>
          <w:tcPr>
            <w:tcW w:type="dxa" w:w="6624"/>
            <w:shd w:val="clear" w:fill="F9FAFB"/>
            <w:tcMar>
              <w:top w:w="60" w:type="dxa"/>
              <w:bottom w:w="60" w:type="dxa"/>
              <w:left w:w="100" w:type="dxa"/>
              <w:right w:w="100" w:type="dxa"/>
            </w:tcMar>
          </w:tcPr>
          <w:p>
            <w:pPr>
              <w:spacing w:after="0" w:before="0"/>
              <w:jc w:val="left"/>
            </w:pPr>
            <w:r/>
            <w:r>
              <w:rPr>
                <w:b w:val="0"/>
                <w:i w:val="0"/>
                <w:color w:val="1F2937"/>
                <w:sz w:val="21"/>
              </w:rPr>
              <w:t>Proposed Phase 1 production go-live</w:t>
            </w:r>
          </w:p>
        </w:tc>
      </w:tr>
    </w:tbl>
    <w:p>
      <w:pPr>
        <w:spacing w:after="0" w:before="0" w:line="160" w:lineRule="exact"/>
      </w:pPr>
    </w:p>
    <w:tbl>
      <w:tblPr>
        <w:tblW w:type="auto" w:w="0"/>
        <w:jc w:val="center"/>
        <w:tblLayout w:type="fixed"/>
        <w:tblLook w:firstColumn="1" w:firstRow="1" w:lastColumn="0" w:lastRow="0" w:noHBand="0" w:noVBand="1" w:val="04A0"/>
      </w:tblPr>
      <w:tblGrid>
        <w:gridCol w:w="8640"/>
      </w:tblGrid>
      <w:tr>
        <w:tc>
          <w:tcPr>
            <w:tcW w:type="dxa" w:w="9360"/>
            <w:shd w:val="clear" w:fill="F9FAFB"/>
            <w:tcBorders>
              <w:left w:val="single" w:sz="24" w:space="0" w:color="9CA3AF"/>
              <w:top w:val="single" w:sz="4" w:space="0" w:color="A7F3D0"/>
              <w:bottom w:val="single" w:sz="4" w:space="0" w:color="A7F3D0"/>
              <w:right w:val="single" w:sz="4" w:space="0" w:color="A7F3D0"/>
            </w:tcBorders>
            <w:tcMar>
              <w:top w:w="120" w:type="dxa"/>
              <w:bottom w:w="120" w:type="dxa"/>
              <w:left w:w="140" w:type="dxa"/>
              <w:right w:w="140" w:type="dxa"/>
            </w:tcMar>
          </w:tcPr>
          <w:p>
            <w:pPr>
              <w:spacing w:after="40"/>
            </w:pPr>
            <w:r>
              <w:rPr>
                <w:b/>
                <w:color w:val="0F172A"/>
                <w:sz w:val="22"/>
              </w:rPr>
              <w:t>These are proposed target dates.</w:t>
            </w:r>
          </w:p>
          <w:p>
            <w:pPr>
              <w:spacing w:after="0" w:before="40"/>
            </w:pPr>
            <w:r>
              <w:rPr>
                <w:color w:val="1F2937"/>
                <w:sz w:val="21"/>
              </w:rPr>
              <w:t>The dates above depend on timely payment, approvals and availability of required information. If the approval/payment date changes, the deployment timeline will move accordingly. 29 August 2026 is a proposed go-live target, not an unconditional contractual deadline.</w:t>
            </w:r>
          </w:p>
        </w:tc>
      </w:tr>
    </w:tbl>
    <w:p>
      <w:pPr>
        <w:spacing w:after="0" w:before="0" w:line="120" w:lineRule="exact"/>
      </w:pPr>
    </w:p>
    <w:p>
      <w:pPr>
        <w:pStyle w:val="Heading1"/>
        <w:spacing w:before="240" w:after="120"/>
        <w:pBdr>
          <w:bottom w:val="single" w:sz="8" w:space="6" w:color="059669"/>
        </w:pBdr>
      </w:pPr>
      <w:r>
        <w:t>11. Responsibilities of Virtual Wisdom Technologies</w:t>
      </w:r>
    </w:p>
    <w:p>
      <w:pPr>
        <w:spacing w:after="80" w:before="0"/>
      </w:pPr>
      <w:r>
        <w:rPr>
          <w:b w:val="0"/>
          <w:i w:val="0"/>
          <w:sz w:val="22"/>
        </w:rPr>
        <w:t>Virtual Wisdom Technologies will be responsible for:</w:t>
      </w:r>
    </w:p>
    <w:p>
      <w:pPr>
        <w:pStyle w:val="ListBullet"/>
        <w:spacing w:after="80"/>
      </w:pPr>
      <w:r>
        <w:t>Recommending suitable domain options.</w:t>
      </w:r>
    </w:p>
    <w:p>
      <w:pPr>
        <w:pStyle w:val="ListBullet"/>
        <w:spacing w:after="80"/>
      </w:pPr>
      <w:r>
        <w:t>Providing current domain pricing.</w:t>
      </w:r>
    </w:p>
    <w:p>
      <w:pPr>
        <w:pStyle w:val="ListBullet"/>
        <w:spacing w:after="80"/>
      </w:pPr>
      <w:r>
        <w:t>Recommending the production hosting plan.</w:t>
      </w:r>
    </w:p>
    <w:p>
      <w:pPr>
        <w:pStyle w:val="ListBullet"/>
        <w:spacing w:after="80"/>
      </w:pPr>
      <w:r>
        <w:t>Providing current hosting pricing.</w:t>
      </w:r>
    </w:p>
    <w:p>
      <w:pPr>
        <w:pStyle w:val="ListBullet"/>
        <w:spacing w:after="80"/>
      </w:pPr>
      <w:r>
        <w:t>Purchasing/configuring approved domain and hosting after client authorization/payment.</w:t>
      </w:r>
    </w:p>
    <w:p>
      <w:pPr>
        <w:pStyle w:val="ListBullet"/>
        <w:spacing w:after="80"/>
      </w:pPr>
      <w:r>
        <w:t>Production server setup.</w:t>
      </w:r>
    </w:p>
    <w:p>
      <w:pPr>
        <w:pStyle w:val="ListBullet"/>
        <w:spacing w:after="80"/>
      </w:pPr>
      <w:r>
        <w:t>Production application deployment.</w:t>
      </w:r>
    </w:p>
    <w:p>
      <w:pPr>
        <w:pStyle w:val="ListBullet"/>
        <w:spacing w:after="80"/>
      </w:pPr>
      <w:r>
        <w:t>Production database deployment.</w:t>
      </w:r>
    </w:p>
    <w:p>
      <w:pPr>
        <w:pStyle w:val="ListBullet"/>
        <w:spacing w:after="80"/>
      </w:pPr>
      <w:r>
        <w:t>Domain/DNS configuration.</w:t>
      </w:r>
    </w:p>
    <w:p>
      <w:pPr>
        <w:pStyle w:val="ListBullet"/>
        <w:spacing w:after="80"/>
      </w:pPr>
      <w:r>
        <w:t>SSL/HTTPS setup.</w:t>
      </w:r>
    </w:p>
    <w:p>
      <w:pPr>
        <w:pStyle w:val="ListBullet"/>
        <w:spacing w:after="80"/>
      </w:pPr>
      <w:r>
        <w:t>Backup configuration.</w:t>
      </w:r>
    </w:p>
    <w:p>
      <w:pPr>
        <w:pStyle w:val="ListBullet"/>
        <w:spacing w:after="80"/>
      </w:pPr>
      <w:r>
        <w:t>Production security configuration.</w:t>
      </w:r>
    </w:p>
    <w:p>
      <w:pPr>
        <w:pStyle w:val="ListBullet"/>
        <w:spacing w:after="80"/>
      </w:pPr>
      <w:r>
        <w:t>Application settings.</w:t>
      </w:r>
    </w:p>
    <w:p>
      <w:pPr>
        <w:pStyle w:val="ListBullet"/>
        <w:spacing w:after="80"/>
      </w:pPr>
      <w:r>
        <w:t>User/admin configuration as required.</w:t>
      </w:r>
    </w:p>
    <w:p>
      <w:pPr>
        <w:pStyle w:val="ListBullet"/>
        <w:spacing w:after="80"/>
      </w:pPr>
      <w:r>
        <w:t>Deployment QA.</w:t>
      </w:r>
    </w:p>
    <w:p>
      <w:pPr>
        <w:pStyle w:val="ListBullet"/>
        <w:spacing w:after="80"/>
      </w:pPr>
      <w:r>
        <w:t>Production testing.</w:t>
      </w:r>
    </w:p>
    <w:p>
      <w:pPr>
        <w:pStyle w:val="ListBullet"/>
        <w:spacing w:after="80"/>
      </w:pPr>
      <w:r>
        <w:t>Initial go-live technical support.</w:t>
      </w:r>
    </w:p>
    <w:p>
      <w:pPr>
        <w:pStyle w:val="ListBullet"/>
        <w:spacing w:after="80"/>
      </w:pPr>
      <w:r>
        <w:t>Resolving deployment-related technical issues.</w:t>
      </w:r>
    </w:p>
    <w:p>
      <w:pPr>
        <w:pStyle w:val="ListBullet"/>
        <w:spacing w:after="80"/>
      </w:pPr>
      <w:r>
        <w:t>Maintaining technical production configuration under the agreed support arrangement.</w:t>
      </w:r>
    </w:p>
    <w:p>
      <w:pPr>
        <w:pStyle w:val="Heading1"/>
        <w:spacing w:before="240" w:after="120"/>
        <w:pBdr>
          <w:bottom w:val="single" w:sz="8" w:space="6" w:color="059669"/>
        </w:pBdr>
      </w:pPr>
      <w:r>
        <w:t>12. Responsibilities of Master Pharmaceuticals</w:t>
      </w:r>
    </w:p>
    <w:p>
      <w:pPr>
        <w:spacing w:after="80" w:before="0"/>
      </w:pPr>
      <w:r>
        <w:rPr>
          <w:b w:val="0"/>
          <w:i w:val="0"/>
          <w:sz w:val="22"/>
        </w:rPr>
        <w:t>Master Pharmaceuticals will be responsible for:</w:t>
      </w:r>
    </w:p>
    <w:p>
      <w:pPr>
        <w:pStyle w:val="ListBullet"/>
        <w:spacing w:after="80"/>
      </w:pPr>
      <w:r>
        <w:t>Reviewing and approving one of the proposed domains.</w:t>
      </w:r>
    </w:p>
    <w:p>
      <w:pPr>
        <w:pStyle w:val="ListBullet"/>
        <w:spacing w:after="80"/>
      </w:pPr>
      <w:r>
        <w:t>Approving the recommended hosting plan.</w:t>
      </w:r>
    </w:p>
    <w:p>
      <w:pPr>
        <w:pStyle w:val="ListBullet"/>
        <w:spacing w:after="80"/>
      </w:pPr>
      <w:r>
        <w:t>Paying the applicable domain and hosting vendor charges.</w:t>
      </w:r>
    </w:p>
    <w:p>
      <w:pPr>
        <w:pStyle w:val="ListBullet"/>
        <w:spacing w:after="80"/>
      </w:pPr>
      <w:r>
        <w:t>Paying the applicable software-development milestone.</w:t>
      </w:r>
    </w:p>
    <w:p>
      <w:pPr>
        <w:pStyle w:val="ListBullet"/>
        <w:spacing w:after="80"/>
      </w:pPr>
      <w:r>
        <w:t>Providing required authorized representative details.</w:t>
      </w:r>
    </w:p>
    <w:p>
      <w:pPr>
        <w:pStyle w:val="ListBullet"/>
        <w:spacing w:after="80"/>
      </w:pPr>
      <w:r>
        <w:t>Providing relevant company/business information required for WHMIS.</w:t>
      </w:r>
    </w:p>
    <w:p>
      <w:pPr>
        <w:pStyle w:val="ListBullet"/>
        <w:spacing w:after="80"/>
      </w:pPr>
      <w:r>
        <w:t>Providing required users/operational data where applicable.</w:t>
      </w:r>
    </w:p>
    <w:p>
      <w:pPr>
        <w:pStyle w:val="ListBullet"/>
        <w:spacing w:after="80"/>
      </w:pPr>
      <w:r>
        <w:t>Reviewing delivered functionality.</w:t>
      </w:r>
    </w:p>
    <w:p>
      <w:pPr>
        <w:pStyle w:val="ListBullet"/>
        <w:spacing w:after="80"/>
      </w:pPr>
      <w:r>
        <w:t>Providing timely and consolidated feedback.</w:t>
      </w:r>
    </w:p>
    <w:p>
      <w:pPr>
        <w:pStyle w:val="ListBullet"/>
        <w:spacing w:after="80"/>
      </w:pPr>
      <w:r>
        <w:t>Providing UAT/operational approval as required.</w:t>
      </w:r>
    </w:p>
    <w:p>
      <w:pPr>
        <w:spacing w:after="160" w:before="80"/>
      </w:pPr>
      <w:r>
        <w:rPr>
          <w:b w:val="0"/>
          <w:i w:val="0"/>
          <w:sz w:val="22"/>
        </w:rPr>
        <w:t>Master Pharmaceuticals is not responsible for technical server architecture, backups, SSL setup, database administration or production deployment configuration — these are handled by Virtual Wisdom Technologies.</w:t>
      </w:r>
    </w:p>
    <w:p>
      <w:pPr>
        <w:pStyle w:val="Heading1"/>
        <w:spacing w:before="240" w:after="120"/>
        <w:pBdr>
          <w:bottom w:val="single" w:sz="8" w:space="6" w:color="059669"/>
        </w:pBdr>
      </w:pPr>
      <w:r>
        <w:t>13. Post-Deployment Support &amp; Maintenance</w:t>
      </w:r>
    </w:p>
    <w:p>
      <w:pPr>
        <w:spacing w:after="80" w:before="0"/>
      </w:pPr>
      <w:r>
        <w:rPr>
          <w:b w:val="0"/>
          <w:i w:val="0"/>
          <w:sz w:val="22"/>
        </w:rPr>
        <w:t>Virtual Wisdom Technologies will also provide support and maintenance services for the deployed WHMIS system according to the mutually agreed support arrangement. The support and maintenance function may include:</w:t>
      </w:r>
    </w:p>
    <w:p>
      <w:pPr>
        <w:pStyle w:val="ListBullet"/>
        <w:spacing w:after="80"/>
      </w:pPr>
      <w:r>
        <w:t>Production application support.</w:t>
      </w:r>
    </w:p>
    <w:p>
      <w:pPr>
        <w:pStyle w:val="ListBullet"/>
        <w:spacing w:after="80"/>
      </w:pPr>
      <w:r>
        <w:t>Technical troubleshooting.</w:t>
      </w:r>
    </w:p>
    <w:p>
      <w:pPr>
        <w:pStyle w:val="ListBullet"/>
        <w:spacing w:after="80"/>
      </w:pPr>
      <w:r>
        <w:t>Correction of software defects within the supported deployed scope.</w:t>
      </w:r>
    </w:p>
    <w:p>
      <w:pPr>
        <w:pStyle w:val="ListBullet"/>
        <w:spacing w:after="80"/>
      </w:pPr>
      <w:r>
        <w:t>Deployment-related issue resolution.</w:t>
      </w:r>
    </w:p>
    <w:p>
      <w:pPr>
        <w:pStyle w:val="ListBullet"/>
        <w:spacing w:after="80"/>
      </w:pPr>
      <w:r>
        <w:t>Backup monitoring/management where applicable.</w:t>
      </w:r>
    </w:p>
    <w:p>
      <w:pPr>
        <w:pStyle w:val="ListBullet"/>
        <w:spacing w:after="80"/>
      </w:pPr>
      <w:r>
        <w:t>Production environment maintenance.</w:t>
      </w:r>
    </w:p>
    <w:p>
      <w:pPr>
        <w:pStyle w:val="ListBullet"/>
        <w:spacing w:after="80"/>
      </w:pPr>
      <w:r>
        <w:t>Basic security/configuration maintenance.</w:t>
      </w:r>
    </w:p>
    <w:p>
      <w:pPr>
        <w:pStyle w:val="ListBullet"/>
        <w:spacing w:after="80"/>
      </w:pPr>
      <w:r>
        <w:t>Application updates relating to the agreed system.</w:t>
      </w:r>
    </w:p>
    <w:p>
      <w:pPr>
        <w:pStyle w:val="ListBullet"/>
        <w:spacing w:after="80"/>
      </w:pPr>
      <w:r>
        <w:t>Assistance with system operational issues.</w:t>
      </w:r>
    </w:p>
    <w:p>
      <w:pPr>
        <w:pStyle w:val="ListBullet"/>
        <w:spacing w:after="80"/>
      </w:pPr>
      <w:r>
        <w:t>Restoration/support activities where technically required and available.</w:t>
      </w:r>
    </w:p>
    <w:p>
      <w:pPr>
        <w:pStyle w:val="ListBullet"/>
        <w:spacing w:after="80"/>
      </w:pPr>
      <w:r>
        <w:t>Coordination with the hosting/vendor where necessary.</w:t>
      </w:r>
    </w:p>
    <w:p>
      <w:pPr>
        <w:pStyle w:val="ListBullet"/>
        <w:spacing w:after="80"/>
      </w:pPr>
      <w:r>
        <w:t>Reasonable post-deployment technical assistance.</w:t>
      </w:r>
    </w:p>
    <w:p>
      <w:pPr>
        <w:spacing w:before="200" w:after="60"/>
      </w:pPr>
      <w:r>
        <w:rPr>
          <w:b/>
          <w:color w:val="0F172A"/>
          <w:sz w:val="23"/>
        </w:rPr>
        <w:t>Included Support / Maintenance</w:t>
      </w:r>
    </w:p>
    <w:p>
      <w:pPr>
        <w:spacing w:after="120" w:before="0"/>
      </w:pPr>
      <w:r>
        <w:rPr>
          <w:b w:val="0"/>
          <w:i w:val="0"/>
          <w:sz w:val="22"/>
        </w:rPr>
        <w:t>Routine support and maintenance of the agreed deployed WHMIS system according to the final support arrangement.</w:t>
      </w:r>
    </w:p>
    <w:p>
      <w:pPr>
        <w:spacing w:before="200" w:after="60"/>
      </w:pPr>
      <w:r>
        <w:rPr>
          <w:b/>
          <w:color w:val="0F172A"/>
          <w:sz w:val="23"/>
        </w:rPr>
        <w:t>Additional Development</w:t>
      </w:r>
    </w:p>
    <w:p>
      <w:pPr>
        <w:spacing w:after="120" w:before="0"/>
      </w:pPr>
      <w:r>
        <w:rPr>
          <w:b w:val="0"/>
          <w:i w:val="0"/>
          <w:sz w:val="22"/>
        </w:rPr>
        <w:t>New modules, substantial workflow changes, integrations, features or other enhancements outside the agreed development scope are not maintenance and will be treated as separate change requests or future development phases.</w:t>
      </w:r>
    </w:p>
    <w:tbl>
      <w:tblPr>
        <w:tblW w:type="auto" w:w="0"/>
        <w:jc w:val="center"/>
        <w:tblLayout w:type="fixed"/>
        <w:tblLook w:firstColumn="1" w:firstRow="1" w:lastColumn="0" w:lastRow="0" w:noHBand="0" w:noVBand="1" w:val="04A0"/>
      </w:tblPr>
      <w:tblGrid>
        <w:gridCol w:w="8640"/>
      </w:tblGrid>
      <w:tr>
        <w:tc>
          <w:tcPr>
            <w:tcW w:type="dxa" w:w="9360"/>
            <w:shd w:val="clear" w:fill="F9FAFB"/>
            <w:tcBorders>
              <w:left w:val="single" w:sz="24" w:space="0" w:color="9CA3AF"/>
              <w:top w:val="single" w:sz="4" w:space="0" w:color="A7F3D0"/>
              <w:bottom w:val="single" w:sz="4" w:space="0" w:color="A7F3D0"/>
              <w:right w:val="single" w:sz="4" w:space="0" w:color="A7F3D0"/>
            </w:tcBorders>
            <w:tcMar>
              <w:top w:w="120" w:type="dxa"/>
              <w:bottom w:w="120" w:type="dxa"/>
              <w:left w:w="140" w:type="dxa"/>
              <w:right w:w="140" w:type="dxa"/>
            </w:tcMar>
          </w:tcPr>
          <w:p>
            <w:pPr>
              <w:spacing w:after="40"/>
            </w:pPr>
            <w:r>
              <w:rPr>
                <w:b/>
                <w:color w:val="0F172A"/>
                <w:sz w:val="22"/>
              </w:rPr>
              <w:t>Support &amp; Maintenance Commercial Terms</w:t>
            </w:r>
          </w:p>
          <w:p>
            <w:pPr>
              <w:spacing w:after="0" w:before="40"/>
            </w:pPr>
            <w:r>
              <w:rPr>
                <w:color w:val="1F2937"/>
                <w:sz w:val="21"/>
              </w:rPr>
              <w:t>To be documented in the final Service Agreement / Support &amp; Maintenance Schedule.</w:t>
            </w:r>
          </w:p>
        </w:tc>
      </w:tr>
    </w:tbl>
    <w:p>
      <w:pPr>
        <w:spacing w:after="0" w:before="0" w:line="120" w:lineRule="exact"/>
      </w:pPr>
    </w:p>
    <w:p>
      <w:pPr>
        <w:pStyle w:val="Heading1"/>
        <w:spacing w:before="240" w:after="120"/>
        <w:pBdr>
          <w:bottom w:val="single" w:sz="8" w:space="6" w:color="059669"/>
        </w:pBdr>
      </w:pPr>
      <w:r>
        <w:t>14. Change Requests</w:t>
      </w:r>
    </w:p>
    <w:p>
      <w:pPr>
        <w:spacing w:after="80" w:before="0"/>
      </w:pPr>
      <w:r>
        <w:rPr>
          <w:b w:val="0"/>
          <w:i w:val="0"/>
          <w:sz w:val="22"/>
        </w:rPr>
        <w:t>PKR 300,000 represents the currently agreed development/deployment scope defined in the approved Phase-Wise Development &amp; Deployment Plan. Any substantial new requirement will be treated as a Change Request and evaluated for:</w:t>
      </w:r>
    </w:p>
    <w:p>
      <w:pPr>
        <w:pStyle w:val="ListBullet"/>
        <w:spacing w:after="80"/>
      </w:pPr>
      <w:r>
        <w:t>Functional impact.</w:t>
      </w:r>
    </w:p>
    <w:p>
      <w:pPr>
        <w:pStyle w:val="ListBullet"/>
        <w:spacing w:after="80"/>
      </w:pPr>
      <w:r>
        <w:t>Technical impact.</w:t>
      </w:r>
    </w:p>
    <w:p>
      <w:pPr>
        <w:pStyle w:val="ListBullet"/>
        <w:spacing w:after="80"/>
      </w:pPr>
      <w:r>
        <w:t>Development effort.</w:t>
      </w:r>
    </w:p>
    <w:p>
      <w:pPr>
        <w:pStyle w:val="ListBullet"/>
        <w:spacing w:after="80"/>
      </w:pPr>
      <w:r>
        <w:t>Timeline impact.</w:t>
      </w:r>
    </w:p>
    <w:p>
      <w:pPr>
        <w:pStyle w:val="ListBullet"/>
        <w:spacing w:after="80"/>
      </w:pPr>
      <w:r>
        <w:t>Commercial impact.</w:t>
      </w:r>
    </w:p>
    <w:p>
      <w:pPr>
        <w:spacing w:after="160" w:before="80"/>
      </w:pPr>
      <w:r>
        <w:rPr>
          <w:b w:val="0"/>
          <w:i w:val="0"/>
          <w:sz w:val="22"/>
        </w:rPr>
        <w:t>No substantial additional development should be assumed to be included without written approval.</w:t>
      </w:r>
    </w:p>
    <w:p>
      <w:pPr>
        <w:pStyle w:val="Heading1"/>
        <w:spacing w:before="240" w:after="120"/>
        <w:pBdr>
          <w:bottom w:val="single" w:sz="8" w:space="6" w:color="059669"/>
        </w:pBdr>
      </w:pPr>
      <w:r>
        <w:t>15. Taxes and External Charges</w:t>
      </w:r>
    </w:p>
    <w:p>
      <w:pPr>
        <w:spacing w:after="160" w:before="0"/>
      </w:pPr>
      <w:r>
        <w:rPr>
          <w:b w:val="0"/>
          <w:i w:val="0"/>
          <w:sz w:val="22"/>
        </w:rPr>
        <w:t>Applicable taxes, withholding deductions, banking charges or legally applicable government levies will be handled according to applicable law and the final invoice/payment arrangement.</w:t>
      </w:r>
    </w:p>
    <w:p>
      <w:pPr>
        <w:pStyle w:val="Heading1"/>
        <w:spacing w:before="240" w:after="120"/>
        <w:pBdr>
          <w:bottom w:val="single" w:sz="8" w:space="6" w:color="059669"/>
        </w:pBdr>
      </w:pPr>
      <w:r>
        <w:t>16. Commercial Snapshot</w:t>
      </w:r>
    </w:p>
    <w:tbl>
      <w:tblPr>
        <w:tblW w:type="auto" w:w="0"/>
        <w:jc w:val="center"/>
        <w:tblLayout w:type="fixed"/>
        <w:tblLook w:firstColumn="1" w:firstRow="1" w:lastColumn="0" w:lastRow="0" w:noHBand="0" w:noVBand="1" w:val="04A0"/>
      </w:tblPr>
      <w:tblGrid>
        <w:gridCol w:w="8640"/>
      </w:tblGrid>
      <w:tr>
        <w:tc>
          <w:tcPr>
            <w:tcW w:type="dxa" w:w="9360"/>
            <w:shd w:val="clear" w:fill="F0FDF4"/>
            <w:tcBorders>
              <w:left w:val="single" w:sz="24" w:space="0" w:color="059669"/>
              <w:top w:val="single" w:sz="4" w:space="0" w:color="A7F3D0"/>
              <w:bottom w:val="single" w:sz="4" w:space="0" w:color="A7F3D0"/>
              <w:right w:val="single" w:sz="4" w:space="0" w:color="A7F3D0"/>
            </w:tcBorders>
            <w:tcMar>
              <w:top w:w="140" w:type="dxa"/>
              <w:bottom w:w="140" w:type="dxa"/>
              <w:left w:w="160" w:type="dxa"/>
              <w:right w:w="160" w:type="dxa"/>
            </w:tcMar>
          </w:tcPr>
          <w:p>
            <w:pPr>
              <w:spacing w:after="80" w:before="0"/>
            </w:pPr>
            <w:r>
              <w:rPr>
                <w:b/>
                <w:color w:val="0F172A"/>
                <w:sz w:val="21"/>
              </w:rPr>
              <w:t xml:space="preserve">Project:  </w:t>
            </w:r>
            <w:r>
              <w:rPr>
                <w:b w:val="0"/>
                <w:color w:val="1F2937"/>
                <w:sz w:val="21"/>
              </w:rPr>
              <w:t>WHMIS</w:t>
            </w:r>
          </w:p>
          <w:p>
            <w:pPr>
              <w:spacing w:after="80" w:before="0"/>
            </w:pPr>
            <w:r>
              <w:rPr>
                <w:b/>
                <w:color w:val="0F172A"/>
                <w:sz w:val="21"/>
              </w:rPr>
              <w:t xml:space="preserve">Client:  </w:t>
            </w:r>
            <w:r>
              <w:rPr>
                <w:b w:val="0"/>
                <w:color w:val="1F2937"/>
                <w:sz w:val="21"/>
              </w:rPr>
              <w:t>Master Pharmaceuticals</w:t>
            </w:r>
          </w:p>
          <w:p>
            <w:pPr>
              <w:spacing w:after="80" w:before="0"/>
            </w:pPr>
            <w:r>
              <w:rPr>
                <w:b/>
                <w:color w:val="0F172A"/>
                <w:sz w:val="21"/>
              </w:rPr>
              <w:t xml:space="preserve">Technology Partner:  </w:t>
            </w:r>
            <w:r>
              <w:rPr>
                <w:b w:val="0"/>
                <w:color w:val="1F2937"/>
                <w:sz w:val="21"/>
              </w:rPr>
              <w:t>Virtual Wisdom Technologies</w:t>
            </w:r>
          </w:p>
          <w:p>
            <w:pPr>
              <w:spacing w:after="120" w:before="0"/>
            </w:pPr>
            <w:r>
              <w:rPr>
                <w:b/>
                <w:color w:val="0F172A"/>
                <w:sz w:val="24"/>
              </w:rPr>
              <w:t xml:space="preserve">Total Development &amp; Deployment Charges:  </w:t>
            </w:r>
            <w:r>
              <w:rPr>
                <w:b/>
                <w:color w:val="047857"/>
                <w:sz w:val="28"/>
              </w:rPr>
              <w:t>PKR 300,000</w:t>
            </w:r>
          </w:p>
          <w:p>
            <w:pPr>
              <w:spacing w:after="80" w:before="0"/>
            </w:pPr>
            <w:r>
              <w:rPr>
                <w:b/>
                <w:color w:val="0F172A"/>
                <w:sz w:val="21"/>
              </w:rPr>
              <w:t xml:space="preserve">Phase 1:  </w:t>
            </w:r>
            <w:r>
              <w:rPr>
                <w:b w:val="0"/>
                <w:color w:val="1F2937"/>
                <w:sz w:val="21"/>
              </w:rPr>
              <w:t>PKR 100,000        Phase 2:  PKR 60,000        Phase 3:  PKR 70,000        Phase 4:  PKR 70,000</w:t>
            </w:r>
          </w:p>
          <w:p>
            <w:pPr>
              <w:spacing w:after="80" w:before="0"/>
            </w:pPr>
            <w:r>
              <w:rPr>
                <w:b/>
                <w:color w:val="0F172A"/>
                <w:sz w:val="21"/>
              </w:rPr>
              <w:t xml:space="preserve">Domain:  </w:t>
            </w:r>
            <w:r>
              <w:rPr>
                <w:b w:val="0"/>
                <w:color w:val="1F2937"/>
                <w:sz w:val="21"/>
              </w:rPr>
              <w:t>Separate third-party vendor cost</w:t>
            </w:r>
          </w:p>
          <w:p>
            <w:pPr>
              <w:spacing w:after="80" w:before="0"/>
            </w:pPr>
            <w:r>
              <w:rPr>
                <w:b/>
                <w:color w:val="0F172A"/>
                <w:sz w:val="21"/>
              </w:rPr>
              <w:t xml:space="preserve">Hosting:  </w:t>
            </w:r>
            <w:r>
              <w:rPr>
                <w:b w:val="0"/>
                <w:color w:val="1F2937"/>
                <w:sz w:val="21"/>
              </w:rPr>
              <w:t>Separate third-party vendor cost</w:t>
            </w:r>
          </w:p>
          <w:p>
            <w:pPr>
              <w:spacing w:after="80" w:before="0"/>
            </w:pPr>
            <w:r>
              <w:rPr>
                <w:b/>
                <w:color w:val="0F172A"/>
                <w:sz w:val="21"/>
              </w:rPr>
              <w:t xml:space="preserve">Proposed Phase 1 Go-Live:  </w:t>
            </w:r>
            <w:r>
              <w:rPr>
                <w:b w:val="0"/>
                <w:color w:val="1F2937"/>
                <w:sz w:val="21"/>
              </w:rPr>
              <w:t>29 August 2026, subject to completion of prerequisites.</w:t>
            </w:r>
          </w:p>
          <w:p>
            <w:pPr>
              <w:spacing w:after="80" w:before="0"/>
            </w:pPr>
            <w:r>
              <w:rPr>
                <w:b/>
                <w:color w:val="0F172A"/>
                <w:sz w:val="21"/>
              </w:rPr>
              <w:t xml:space="preserve">Support &amp; Maintenance:  </w:t>
            </w:r>
            <w:r>
              <w:rPr>
                <w:b w:val="0"/>
                <w:color w:val="1F2937"/>
                <w:sz w:val="21"/>
              </w:rPr>
              <w:t>To be provided by Virtual Wisdom Technologies under the agreed support arrangement.</w:t>
            </w:r>
          </w:p>
        </w:tc>
      </w:tr>
    </w:tbl>
    <w:p>
      <w:pPr>
        <w:spacing w:after="0" w:before="0" w:line="160" w:lineRule="exact"/>
      </w:pPr>
    </w:p>
    <w:p>
      <w:pPr>
        <w:pStyle w:val="Heading1"/>
        <w:spacing w:before="240" w:after="120"/>
        <w:pBdr>
          <w:bottom w:val="single" w:sz="8" w:space="6" w:color="059669"/>
        </w:pBdr>
      </w:pPr>
      <w:r>
        <w:t>17. Next Steps</w:t>
      </w:r>
    </w:p>
    <w:p>
      <w:pPr>
        <w:pStyle w:val="ListNumber"/>
        <w:spacing w:after="80"/>
      </w:pPr>
      <w:r>
        <w:t>Approval of this Pre-Deployment Requirements &amp; Payment Schedule.</w:t>
      </w:r>
    </w:p>
    <w:p>
      <w:pPr>
        <w:pStyle w:val="ListNumber"/>
        <w:spacing w:after="80"/>
      </w:pPr>
      <w:r>
        <w:t>Review of recommended domain options.</w:t>
      </w:r>
    </w:p>
    <w:p>
      <w:pPr>
        <w:pStyle w:val="ListNumber"/>
        <w:spacing w:after="80"/>
      </w:pPr>
      <w:r>
        <w:t>Selection and approval of domain.</w:t>
      </w:r>
    </w:p>
    <w:p>
      <w:pPr>
        <w:pStyle w:val="ListNumber"/>
        <w:spacing w:after="80"/>
      </w:pPr>
      <w:r>
        <w:t>Approval of recommended hosting plan.</w:t>
      </w:r>
    </w:p>
    <w:p>
      <w:pPr>
        <w:pStyle w:val="ListNumber"/>
        <w:spacing w:after="80"/>
      </w:pPr>
      <w:r>
        <w:t>Payment of domain and hosting vendor charges.</w:t>
      </w:r>
    </w:p>
    <w:p>
      <w:pPr>
        <w:pStyle w:val="ListNumber"/>
        <w:spacing w:after="80"/>
      </w:pPr>
      <w:r>
        <w:t>Payment of Phase 1 – PKR 100,000.</w:t>
      </w:r>
    </w:p>
    <w:p>
      <w:pPr>
        <w:pStyle w:val="ListNumber"/>
        <w:spacing w:after="80"/>
      </w:pPr>
      <w:r>
        <w:t>Production deployment by Virtual Wisdom Technologies.</w:t>
      </w:r>
    </w:p>
    <w:p>
      <w:pPr>
        <w:pStyle w:val="ListNumber"/>
        <w:spacing w:after="80"/>
      </w:pPr>
      <w:r>
        <w:t>Phase 1 go-live.</w:t>
      </w:r>
    </w:p>
    <w:p>
      <w:pPr>
        <w:pStyle w:val="ListNumber"/>
        <w:spacing w:after="80"/>
      </w:pPr>
      <w:r>
        <w:t>Commencement of Phase 2 according to the separate Phase-Wise Development &amp; Deployment Plan.</w:t>
      </w:r>
    </w:p>
    <w:p>
      <w:pPr>
        <w:pStyle w:val="ListNumber"/>
        <w:spacing w:after="80"/>
      </w:pPr>
      <w:r>
        <w:t>Subsequent execution/finalization of Service Agreement and Support &amp; Maintenance terms.</w:t>
      </w:r>
    </w:p>
    <w:p>
      <w:pPr>
        <w:spacing w:after="0" w:before="0" w:line="120" w:lineRule="exact"/>
      </w:pPr>
    </w:p>
    <w:p>
      <w:pPr>
        <w:pStyle w:val="Heading1"/>
        <w:spacing w:before="240" w:after="120"/>
        <w:pBdr>
          <w:bottom w:val="single" w:sz="8" w:space="6" w:color="059669"/>
        </w:pBdr>
      </w:pPr>
      <w:r>
        <w:t>18. Acknowledgement &amp; Sign-Off</w:t>
      </w:r>
    </w:p>
    <w:p>
      <w:pPr>
        <w:spacing w:after="200" w:before="0"/>
      </w:pPr>
      <w:r>
        <w:rPr>
          <w:b w:val="0"/>
          <w:i w:val="0"/>
          <w:sz w:val="22"/>
        </w:rPr>
        <w:t>By acknowledging this document, both parties confirm their understanding of the pre-deployment requirements, third-party domain and hosting costs, development payment milestones and proposed deployment process. Detailed software scope is governed by the approved Phase-Wise Development &amp; Deployment Plan, while broader contractual and support terms will be covered under the applicable Service Agreement and Support &amp; Maintenance arrangements.</w:t>
      </w:r>
    </w:p>
    <w:tbl>
      <w:tblPr>
        <w:tblW w:type="auto" w:w="0"/>
        <w:tblLayout w:type="fixed"/>
        <w:tblLook w:firstColumn="1" w:firstRow="1" w:lastColumn="0" w:lastRow="0" w:noHBand="0" w:noVBand="1" w:val="04A0"/>
      </w:tblPr>
      <w:tblGrid>
        <w:gridCol w:w="8640"/>
      </w:tblGrid>
      <w:tr>
        <w:tc>
          <w:tcPr>
            <w:tcW w:type="dxa" w:w="9360"/>
            <w:shd w:val="clear" w:fill="F9FAFB"/>
            <w:tcBorders>
              <w:left w:val="single" w:sz="18" w:space="0" w:color="059669"/>
              <w:top w:val="single" w:sz="4" w:space="0" w:color="D1D5DB"/>
              <w:bottom w:val="single" w:sz="4" w:space="0" w:color="D1D5DB"/>
              <w:left w:val="single" w:sz="4" w:space="0" w:color="D1D5DB"/>
              <w:right w:val="single" w:sz="4" w:space="0" w:color="D1D5DB"/>
            </w:tcBorders>
            <w:tcMar>
              <w:top w:w="140" w:type="dxa"/>
              <w:bottom w:w="160" w:type="dxa"/>
              <w:left w:w="160" w:type="dxa"/>
              <w:right w:w="160" w:type="dxa"/>
            </w:tcMar>
          </w:tcPr>
          <w:p>
            <w:pPr>
              <w:spacing w:after="160"/>
            </w:pPr>
            <w:r>
              <w:rPr>
                <w:b/>
                <w:color w:val="0F172A"/>
                <w:sz w:val="23"/>
              </w:rPr>
              <w:t>For Virtual Wisdom Technologies</w:t>
            </w:r>
          </w:p>
          <w:p>
            <w:pPr>
              <w:spacing w:after="120"/>
            </w:pPr>
            <w:r>
              <w:rPr>
                <w:b/>
                <w:color w:val="6B7280"/>
                <w:sz w:val="21"/>
              </w:rPr>
              <w:t xml:space="preserve">Name:  </w:t>
            </w:r>
            <w:r>
              <w:rPr>
                <w:color w:val="1F2937"/>
                <w:sz w:val="21"/>
              </w:rPr>
              <w:t>Muhammad Azhar</w:t>
            </w:r>
          </w:p>
          <w:p>
            <w:pPr>
              <w:spacing w:after="120"/>
            </w:pPr>
            <w:r>
              <w:rPr>
                <w:b/>
                <w:color w:val="6B7280"/>
                <w:sz w:val="21"/>
              </w:rPr>
              <w:t xml:space="preserve">Designation:  </w:t>
            </w:r>
            <w:r>
              <w:rPr>
                <w:color w:val="1F2937"/>
                <w:sz w:val="21"/>
              </w:rPr>
              <w:t>[Insert]</w:t>
            </w:r>
          </w:p>
          <w:p>
            <w:pPr>
              <w:spacing w:after="120"/>
            </w:pPr>
            <w:r>
              <w:rPr>
                <w:b/>
                <w:color w:val="6B7280"/>
                <w:sz w:val="21"/>
              </w:rPr>
              <w:t xml:space="preserve">Signature:  </w:t>
            </w:r>
            <w:r>
              <w:rPr>
                <w:color w:val="1F2937"/>
                <w:sz w:val="21"/>
              </w:rPr>
              <w:t>__________________________</w:t>
            </w:r>
          </w:p>
          <w:p>
            <w:pPr>
              <w:spacing w:after="120"/>
            </w:pPr>
            <w:r>
              <w:rPr>
                <w:b/>
                <w:color w:val="6B7280"/>
                <w:sz w:val="21"/>
              </w:rPr>
              <w:t xml:space="preserve">Date:  </w:t>
            </w:r>
            <w:r>
              <w:rPr>
                <w:color w:val="1F2937"/>
                <w:sz w:val="21"/>
              </w:rPr>
              <w:t>__________________________</w:t>
            </w:r>
          </w:p>
        </w:tc>
      </w:tr>
    </w:tbl>
    <w:p>
      <w:pPr>
        <w:spacing w:after="0" w:before="0" w:line="160" w:lineRule="exact"/>
      </w:pPr>
    </w:p>
    <w:tbl>
      <w:tblPr>
        <w:tblW w:type="auto" w:w="0"/>
        <w:tblLayout w:type="fixed"/>
        <w:tblLook w:firstColumn="1" w:firstRow="1" w:lastColumn="0" w:lastRow="0" w:noHBand="0" w:noVBand="1" w:val="04A0"/>
      </w:tblPr>
      <w:tblGrid>
        <w:gridCol w:w="8640"/>
      </w:tblGrid>
      <w:tr>
        <w:tc>
          <w:tcPr>
            <w:tcW w:type="dxa" w:w="9360"/>
            <w:shd w:val="clear" w:fill="F9FAFB"/>
            <w:tcBorders>
              <w:left w:val="single" w:sz="18" w:space="0" w:color="059669"/>
              <w:top w:val="single" w:sz="4" w:space="0" w:color="D1D5DB"/>
              <w:bottom w:val="single" w:sz="4" w:space="0" w:color="D1D5DB"/>
              <w:left w:val="single" w:sz="4" w:space="0" w:color="D1D5DB"/>
              <w:right w:val="single" w:sz="4" w:space="0" w:color="D1D5DB"/>
            </w:tcBorders>
            <w:tcMar>
              <w:top w:w="140" w:type="dxa"/>
              <w:bottom w:w="160" w:type="dxa"/>
              <w:left w:w="160" w:type="dxa"/>
              <w:right w:w="160" w:type="dxa"/>
            </w:tcMar>
          </w:tcPr>
          <w:p>
            <w:pPr>
              <w:spacing w:after="160"/>
            </w:pPr>
            <w:r>
              <w:rPr>
                <w:b/>
                <w:color w:val="0F172A"/>
                <w:sz w:val="23"/>
              </w:rPr>
              <w:t>For Master Pharmaceuticals</w:t>
            </w:r>
          </w:p>
          <w:p>
            <w:pPr>
              <w:spacing w:after="120"/>
            </w:pPr>
            <w:r>
              <w:rPr>
                <w:b/>
                <w:color w:val="6B7280"/>
                <w:sz w:val="21"/>
              </w:rPr>
              <w:t xml:space="preserve">Name:  </w:t>
            </w:r>
            <w:r>
              <w:rPr>
                <w:color w:val="1F2937"/>
                <w:sz w:val="21"/>
              </w:rPr>
              <w:t>[Insert]</w:t>
            </w:r>
          </w:p>
          <w:p>
            <w:pPr>
              <w:spacing w:after="120"/>
            </w:pPr>
            <w:r>
              <w:rPr>
                <w:b/>
                <w:color w:val="6B7280"/>
                <w:sz w:val="21"/>
              </w:rPr>
              <w:t xml:space="preserve">Designation:  </w:t>
            </w:r>
            <w:r>
              <w:rPr>
                <w:color w:val="1F2937"/>
                <w:sz w:val="21"/>
              </w:rPr>
              <w:t>[Insert]</w:t>
            </w:r>
          </w:p>
          <w:p>
            <w:pPr>
              <w:spacing w:after="120"/>
            </w:pPr>
            <w:r>
              <w:rPr>
                <w:b/>
                <w:color w:val="6B7280"/>
                <w:sz w:val="21"/>
              </w:rPr>
              <w:t xml:space="preserve">Signature:  </w:t>
            </w:r>
            <w:r>
              <w:rPr>
                <w:color w:val="1F2937"/>
                <w:sz w:val="21"/>
              </w:rPr>
              <w:t>__________________________</w:t>
            </w:r>
          </w:p>
          <w:p>
            <w:pPr>
              <w:spacing w:after="120"/>
            </w:pPr>
            <w:r>
              <w:rPr>
                <w:b/>
                <w:color w:val="6B7280"/>
                <w:sz w:val="21"/>
              </w:rPr>
              <w:t xml:space="preserve">Date:  </w:t>
            </w:r>
            <w:r>
              <w:rPr>
                <w:color w:val="1F2937"/>
                <w:sz w:val="21"/>
              </w:rPr>
              <w:t>__________________________</w:t>
            </w:r>
          </w:p>
        </w:tc>
      </w:tr>
    </w:tbl>
    <w:p>
      <w:pPr>
        <w:spacing w:after="0" w:before="0" w:line="160" w:lineRule="exact"/>
      </w:pPr>
    </w:p>
    <w:sectPr w:rsidR="00FC693F" w:rsidRPr="0006063C" w:rsidSect="00034616">
      <w:headerReference w:type="default" r:id="rId9"/>
      <w:footerReference w:type="default" r:id="rId10"/>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Confidential – Commercial &amp; Project Information     ·     Virtual Wisdom Technologies     ·     WHMIS     ·     Page </w:t>
    </w:r>
    <w:r>
      <w:rPr>
        <w:color w:val="6B7280"/>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CA3AF"/>
        <w:sz w:val="16"/>
      </w:rPr>
      <w:t>WHMIS System — Pre-Deployment Requirements &amp; Payment Schedule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72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