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FF" w:rsidRPr="009016FF" w:rsidRDefault="009016FF" w:rsidP="009016FF">
      <w:pPr>
        <w:spacing w:after="263"/>
        <w:ind w:left="428"/>
        <w:jc w:val="center"/>
        <w:rPr>
          <w:sz w:val="40"/>
          <w:szCs w:val="40"/>
        </w:rPr>
      </w:pPr>
      <w:r w:rsidRPr="009016FF">
        <w:rPr>
          <w:rFonts w:ascii="Times New Roman" w:eastAsia="Times New Roman" w:hAnsi="Times New Roman" w:cs="Times New Roman"/>
          <w:sz w:val="40"/>
          <w:szCs w:val="40"/>
        </w:rPr>
        <w:t>Verification of Kirchhoff’s Voltage Law (KVL) using Breadboard</w:t>
      </w:r>
    </w:p>
    <w:p w:rsidR="009016FF" w:rsidRPr="009016FF" w:rsidRDefault="009016FF" w:rsidP="009016F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016FF">
        <w:rPr>
          <w:rFonts w:ascii="Times New Roman" w:eastAsia="Times New Roman" w:hAnsi="Times New Roman" w:cs="Times New Roman"/>
          <w:sz w:val="36"/>
          <w:szCs w:val="36"/>
        </w:rPr>
        <w:t>LAB # 6</w:t>
      </w:r>
    </w:p>
    <w:p w:rsidR="009016FF" w:rsidRDefault="009016FF" w:rsidP="009016FF">
      <w:pPr>
        <w:spacing w:after="0" w:line="265" w:lineRule="auto"/>
        <w:ind w:left="10" w:right="72" w:hanging="10"/>
        <w:jc w:val="center"/>
      </w:pPr>
    </w:p>
    <w:p w:rsidR="009016FF" w:rsidRDefault="009016FF" w:rsidP="009016FF">
      <w:pPr>
        <w:spacing w:after="1078"/>
        <w:jc w:val="center"/>
      </w:pPr>
      <w:r>
        <w:rPr>
          <w:noProof/>
        </w:rPr>
        <w:drawing>
          <wp:inline distT="0" distB="0" distL="0" distR="0" wp14:anchorId="4DB2911B" wp14:editId="5675A24E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FF" w:rsidRDefault="009016FF" w:rsidP="009016FF">
      <w:pPr>
        <w:spacing w:after="182" w:line="265" w:lineRule="auto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6"/>
        </w:rPr>
        <w:t>Spring 2022</w:t>
      </w:r>
    </w:p>
    <w:p w:rsidR="009016FF" w:rsidRDefault="009016FF" w:rsidP="009016FF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CIRCUIT AND SYSTEMS 1 LAB</w:t>
      </w:r>
    </w:p>
    <w:p w:rsidR="009016FF" w:rsidRPr="00CF098A" w:rsidRDefault="009016FF" w:rsidP="009016FF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</w:p>
    <w:p w:rsidR="009016FF" w:rsidRPr="009016FF" w:rsidRDefault="009016FF" w:rsidP="009016FF">
      <w:pPr>
        <w:spacing w:after="106" w:line="265" w:lineRule="auto"/>
        <w:ind w:left="1683" w:right="1730" w:hanging="10"/>
        <w:jc w:val="center"/>
        <w:rPr>
          <w:sz w:val="32"/>
          <w:szCs w:val="32"/>
        </w:rPr>
      </w:pPr>
      <w:r w:rsidRPr="009016FF">
        <w:rPr>
          <w:rFonts w:ascii="Times New Roman" w:eastAsia="Times New Roman" w:hAnsi="Times New Roman" w:cs="Times New Roman"/>
          <w:sz w:val="32"/>
          <w:szCs w:val="32"/>
        </w:rPr>
        <w:t>Submitted by: MUHAMMAD SADEEQ</w:t>
      </w:r>
    </w:p>
    <w:p w:rsidR="009016FF" w:rsidRPr="009016FF" w:rsidRDefault="009016FF" w:rsidP="009016FF">
      <w:pPr>
        <w:spacing w:after="131" w:line="265" w:lineRule="auto"/>
        <w:ind w:left="1683" w:right="1740" w:hanging="10"/>
        <w:jc w:val="center"/>
        <w:rPr>
          <w:sz w:val="32"/>
          <w:szCs w:val="32"/>
        </w:rPr>
      </w:pPr>
      <w:r w:rsidRPr="009016FF">
        <w:rPr>
          <w:rFonts w:ascii="Times New Roman" w:eastAsia="Times New Roman" w:hAnsi="Times New Roman" w:cs="Times New Roman"/>
          <w:sz w:val="32"/>
          <w:szCs w:val="32"/>
        </w:rPr>
        <w:t>Registration No.: 21PWCSE2028</w:t>
      </w:r>
    </w:p>
    <w:p w:rsidR="009016FF" w:rsidRPr="009016FF" w:rsidRDefault="009016FF" w:rsidP="009016FF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016FF">
        <w:rPr>
          <w:rFonts w:ascii="Times New Roman" w:eastAsia="Times New Roman" w:hAnsi="Times New Roman" w:cs="Times New Roman"/>
          <w:sz w:val="32"/>
          <w:szCs w:val="32"/>
        </w:rPr>
        <w:t xml:space="preserve"> Section: C</w:t>
      </w:r>
    </w:p>
    <w:p w:rsidR="009016FF" w:rsidRPr="009016FF" w:rsidRDefault="009016FF" w:rsidP="009016FF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FF">
        <w:rPr>
          <w:rFonts w:ascii="Times New Roman" w:eastAsia="Times New Roman" w:hAnsi="Times New Roman" w:cs="Times New Roman"/>
          <w:sz w:val="28"/>
          <w:szCs w:val="28"/>
        </w:rPr>
        <w:t xml:space="preserve">"On my honor, as </w:t>
      </w:r>
      <w:r w:rsidR="00CF0A33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9016FF">
        <w:rPr>
          <w:rFonts w:ascii="Times New Roman" w:eastAsia="Times New Roman" w:hAnsi="Times New Roman" w:cs="Times New Roman"/>
          <w:sz w:val="28"/>
          <w:szCs w:val="28"/>
        </w:rPr>
        <w:t xml:space="preserve">student of </w:t>
      </w:r>
      <w:r w:rsidR="00CF0A33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9016FF">
        <w:rPr>
          <w:rFonts w:ascii="Times New Roman" w:eastAsia="Times New Roman" w:hAnsi="Times New Roman" w:cs="Times New Roman"/>
          <w:sz w:val="28"/>
          <w:szCs w:val="28"/>
        </w:rPr>
        <w:t>University of Engineering and Technology, I have neither given nor received unauthorized assistance on this academic work.'</w:t>
      </w:r>
    </w:p>
    <w:p w:rsidR="009016FF" w:rsidRPr="00CF098A" w:rsidRDefault="009016FF" w:rsidP="009016FF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</w:p>
    <w:p w:rsidR="009016FF" w:rsidRDefault="009016FF" w:rsidP="009016FF">
      <w:pPr>
        <w:spacing w:after="131" w:line="265" w:lineRule="auto"/>
        <w:ind w:left="1683" w:right="1802" w:hanging="10"/>
        <w:jc w:val="center"/>
      </w:pPr>
      <w:r>
        <w:rPr>
          <w:rFonts w:ascii="Times New Roman" w:eastAsia="Times New Roman" w:hAnsi="Times New Roman" w:cs="Times New Roman"/>
          <w:sz w:val="24"/>
        </w:rPr>
        <w:t>Submitted to:</w:t>
      </w:r>
    </w:p>
    <w:p w:rsidR="009016FF" w:rsidRDefault="009016FF" w:rsidP="009016FF">
      <w:pPr>
        <w:spacing w:after="105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sz w:val="26"/>
        </w:rPr>
        <w:t>Faiz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Ullah</w:t>
      </w:r>
      <w:proofErr w:type="spellEnd"/>
    </w:p>
    <w:p w:rsidR="009016FF" w:rsidRDefault="009016FF" w:rsidP="009016FF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(May 26, 2022)</w:t>
      </w:r>
    </w:p>
    <w:p w:rsidR="009016FF" w:rsidRPr="00CF098A" w:rsidRDefault="009016FF" w:rsidP="009016FF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9016FF" w:rsidRPr="009016FF" w:rsidRDefault="009016FF" w:rsidP="009016FF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FF">
        <w:rPr>
          <w:rFonts w:ascii="Times New Roman" w:eastAsia="Times New Roman" w:hAnsi="Times New Roman" w:cs="Times New Roman"/>
          <w:sz w:val="28"/>
          <w:szCs w:val="28"/>
        </w:rPr>
        <w:t>Department of Computer Systems Engineering University of Engineering and Technology, Peshawar</w:t>
      </w:r>
    </w:p>
    <w:p w:rsidR="009016FF" w:rsidRDefault="009016FF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br w:type="page"/>
      </w:r>
    </w:p>
    <w:p w:rsidR="0069328B" w:rsidRPr="0069328B" w:rsidRDefault="0069328B" w:rsidP="0069328B">
      <w:pPr>
        <w:spacing w:after="0"/>
        <w:rPr>
          <w:sz w:val="48"/>
          <w:szCs w:val="48"/>
        </w:rPr>
      </w:pPr>
      <w:r w:rsidRPr="0069328B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Experiment # 6</w:t>
      </w:r>
    </w:p>
    <w:p w:rsidR="0069328B" w:rsidRDefault="0069328B" w:rsidP="0069328B">
      <w:pPr>
        <w:spacing w:after="263"/>
        <w:ind w:left="428"/>
      </w:pPr>
      <w:r>
        <w:rPr>
          <w:rFonts w:ascii="Times New Roman" w:eastAsia="Times New Roman" w:hAnsi="Times New Roman" w:cs="Times New Roman"/>
          <w:sz w:val="32"/>
        </w:rPr>
        <w:t>Verification of Kirchhoff’s Voltage Law (KVL) using Breadboard</w:t>
      </w:r>
    </w:p>
    <w:p w:rsidR="0069328B" w:rsidRPr="0069328B" w:rsidRDefault="0069328B" w:rsidP="0069328B">
      <w:pPr>
        <w:spacing w:after="3"/>
        <w:ind w:left="-5" w:hanging="10"/>
        <w:rPr>
          <w:sz w:val="40"/>
          <w:szCs w:val="40"/>
        </w:rPr>
      </w:pPr>
      <w:r w:rsidRPr="0069328B">
        <w:rPr>
          <w:rFonts w:ascii="Times New Roman" w:eastAsia="Times New Roman" w:hAnsi="Times New Roman" w:cs="Times New Roman"/>
          <w:b/>
          <w:sz w:val="40"/>
          <w:szCs w:val="40"/>
          <w:u w:val="single" w:color="000000"/>
        </w:rPr>
        <w:t xml:space="preserve">Objective: </w:t>
      </w:r>
    </w:p>
    <w:p w:rsidR="0069328B" w:rsidRPr="0069328B" w:rsidRDefault="0069328B" w:rsidP="0069328B">
      <w:pPr>
        <w:spacing w:after="333" w:line="274" w:lineRule="auto"/>
        <w:rPr>
          <w:sz w:val="28"/>
          <w:szCs w:val="28"/>
        </w:rPr>
      </w:pPr>
      <w:r w:rsidRPr="0069328B">
        <w:rPr>
          <w:rFonts w:ascii="Times New Roman" w:eastAsia="Times New Roman" w:hAnsi="Times New Roman" w:cs="Times New Roman"/>
          <w:sz w:val="28"/>
          <w:szCs w:val="28"/>
        </w:rPr>
        <w:t>To verify Kirchhoff’s Voltage Law (KVL) on Breadboard and know relationship between varying resistors and applied voltage.</w:t>
      </w:r>
    </w:p>
    <w:p w:rsidR="0069328B" w:rsidRPr="0069328B" w:rsidRDefault="0069328B" w:rsidP="0069328B">
      <w:pPr>
        <w:spacing w:after="3"/>
        <w:ind w:left="-5" w:hanging="10"/>
        <w:rPr>
          <w:rFonts w:ascii="Times New Roman" w:eastAsia="Times New Roman" w:hAnsi="Times New Roman" w:cs="Times New Roman"/>
          <w:b/>
          <w:sz w:val="40"/>
          <w:szCs w:val="40"/>
          <w:u w:val="single" w:color="000000"/>
        </w:rPr>
      </w:pPr>
      <w:r w:rsidRPr="0069328B">
        <w:rPr>
          <w:rFonts w:ascii="Times New Roman" w:eastAsia="Times New Roman" w:hAnsi="Times New Roman" w:cs="Times New Roman"/>
          <w:b/>
          <w:sz w:val="40"/>
          <w:szCs w:val="40"/>
          <w:u w:val="single" w:color="000000"/>
        </w:rPr>
        <w:t>Kirchhoff’s Voltage Law (KVL):</w:t>
      </w:r>
    </w:p>
    <w:p w:rsidR="0069328B" w:rsidRDefault="0069328B" w:rsidP="0069328B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69328B" w:rsidRDefault="0069328B" w:rsidP="0069328B">
      <w:pPr>
        <w:spacing w:after="3"/>
        <w:ind w:left="-5" w:hanging="1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Statement:</w:t>
      </w:r>
      <w:r w:rsidRPr="0069328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69328B" w:rsidRDefault="0069328B" w:rsidP="0069328B">
      <w:pPr>
        <w:spacing w:after="3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9328B">
        <w:rPr>
          <w:rFonts w:ascii="Times New Roman" w:eastAsia="Times New Roman" w:hAnsi="Times New Roman" w:cs="Times New Roman"/>
          <w:sz w:val="28"/>
          <w:szCs w:val="28"/>
        </w:rPr>
        <w:t>The algebraic sum of all voltage differences around any closed loop is zero.</w:t>
      </w:r>
    </w:p>
    <w:p w:rsidR="0069328B" w:rsidRDefault="0069328B" w:rsidP="0069328B">
      <w:pPr>
        <w:spacing w:after="3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462BDC" w:rsidRDefault="00462BDC" w:rsidP="0069328B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62BDC" w:rsidRDefault="00462BDC" w:rsidP="00462BDC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462BDC">
        <w:rPr>
          <w:rFonts w:ascii="Times New Roman" w:eastAsia="Times New Roman" w:hAnsi="Times New Roman" w:cs="Times New Roman"/>
          <w:b/>
          <w:sz w:val="32"/>
          <w:u w:val="single" w:color="000000"/>
        </w:rPr>
        <w:t>Diagram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</w:p>
    <w:p w:rsidR="00462BDC" w:rsidRDefault="00462BDC" w:rsidP="00462BDC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462BDC" w:rsidRDefault="00462BDC" w:rsidP="00462BDC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noProof/>
          <w:sz w:val="32"/>
          <w:u w:val="single" w:color="000000"/>
        </w:rPr>
        <w:drawing>
          <wp:inline distT="0" distB="0" distL="0" distR="0">
            <wp:extent cx="4039925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DC" w:rsidRDefault="00462BDC" w:rsidP="00462BDC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462BDC" w:rsidRPr="0069328B" w:rsidRDefault="00462BDC" w:rsidP="00462BDC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69328B">
        <w:rPr>
          <w:rFonts w:ascii="Times New Roman" w:eastAsia="Times New Roman" w:hAnsi="Times New Roman" w:cs="Times New Roman"/>
          <w:b/>
          <w:sz w:val="32"/>
          <w:u w:val="single" w:color="000000"/>
        </w:rPr>
        <w:t>Mathematically:</w:t>
      </w:r>
    </w:p>
    <w:p w:rsidR="00462BDC" w:rsidRDefault="00462BDC" w:rsidP="00462BDC">
      <w:pPr>
        <w:spacing w:after="3"/>
        <w:ind w:left="-5" w:hanging="10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:rsidR="00462BDC" w:rsidRDefault="00462BDC" w:rsidP="00462BDC">
      <w:pPr>
        <w:spacing w:after="3"/>
        <w:ind w:left="-5" w:hanging="10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∑ V</w:t>
      </w:r>
      <w:r w:rsidRPr="0069328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= 0</w:t>
      </w:r>
    </w:p>
    <w:p w:rsidR="00462BDC" w:rsidRDefault="00462BDC" w:rsidP="00462BDC">
      <w:pPr>
        <w:spacing w:after="3"/>
        <w:ind w:left="-5" w:hanging="10"/>
        <w:jc w:val="center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462BDC" w:rsidRDefault="00462BDC" w:rsidP="00462BDC">
      <w:pPr>
        <w:spacing w:after="3"/>
        <w:ind w:left="-5" w:hanging="10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V1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+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V2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+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V3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=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462BD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0</w:t>
      </w:r>
    </w:p>
    <w:p w:rsidR="006773C8" w:rsidRDefault="006773C8" w:rsidP="006773C8">
      <w:pPr>
        <w:spacing w:after="3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:rsidR="006773C8" w:rsidRDefault="006773C8" w:rsidP="006773C8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462BDC" w:rsidRDefault="006773C8" w:rsidP="006773C8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6773C8">
        <w:rPr>
          <w:rFonts w:ascii="Times New Roman" w:eastAsia="Times New Roman" w:hAnsi="Times New Roman" w:cs="Times New Roman"/>
          <w:b/>
          <w:sz w:val="32"/>
          <w:u w:val="single" w:color="000000"/>
        </w:rPr>
        <w:t>PSPICE Simulator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</w:p>
    <w:p w:rsidR="006773C8" w:rsidRPr="006773C8" w:rsidRDefault="006773C8" w:rsidP="006773C8">
      <w:pPr>
        <w:spacing w:after="3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773C8">
        <w:rPr>
          <w:rFonts w:ascii="Times New Roman" w:eastAsia="Times New Roman" w:hAnsi="Times New Roman" w:cs="Times New Roman"/>
          <w:sz w:val="28"/>
          <w:szCs w:val="28"/>
        </w:rPr>
        <w:t>PSPICE is a computer-aided simulation program that enables you to design a circuit and then simulate the design on a computer. As this is one of its main purposes, it is used extensively by electronic design engineers for building a circuit and then testing out how that circuit will simulate.</w:t>
      </w:r>
    </w:p>
    <w:p w:rsidR="006773C8" w:rsidRDefault="006773C8" w:rsidP="006773C8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6773C8" w:rsidRPr="00E476D2" w:rsidRDefault="006773C8" w:rsidP="006773C8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Apparatus:</w:t>
      </w:r>
    </w:p>
    <w:p w:rsidR="006773C8" w:rsidRPr="00CE41F3" w:rsidRDefault="006773C8" w:rsidP="006773C8">
      <w:pPr>
        <w:numPr>
          <w:ilvl w:val="0"/>
          <w:numId w:val="1"/>
        </w:numPr>
        <w:spacing w:after="32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DMM</w:t>
      </w:r>
    </w:p>
    <w:p w:rsidR="006773C8" w:rsidRPr="00CE41F3" w:rsidRDefault="006773C8" w:rsidP="006773C8">
      <w:pPr>
        <w:numPr>
          <w:ilvl w:val="0"/>
          <w:numId w:val="1"/>
        </w:numPr>
        <w:spacing w:after="32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Resistors</w:t>
      </w:r>
    </w:p>
    <w:p w:rsidR="006773C8" w:rsidRPr="00CE41F3" w:rsidRDefault="006773C8" w:rsidP="006773C8">
      <w:pPr>
        <w:numPr>
          <w:ilvl w:val="0"/>
          <w:numId w:val="1"/>
        </w:numPr>
        <w:spacing w:after="317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DC power supply</w:t>
      </w:r>
    </w:p>
    <w:p w:rsidR="006773C8" w:rsidRPr="00E476D2" w:rsidRDefault="006773C8" w:rsidP="006773C8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Procedure:</w:t>
      </w:r>
    </w:p>
    <w:p w:rsidR="006773C8" w:rsidRPr="00CE41F3" w:rsidRDefault="006773C8" w:rsidP="00CE41F3">
      <w:pPr>
        <w:numPr>
          <w:ilvl w:val="0"/>
          <w:numId w:val="1"/>
        </w:numPr>
        <w:spacing w:after="32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Design the following circuit on breadboard</w:t>
      </w:r>
    </w:p>
    <w:p w:rsidR="00462BDC" w:rsidRDefault="006773C8" w:rsidP="006773C8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noProof/>
        </w:rPr>
        <w:drawing>
          <wp:inline distT="0" distB="0" distL="0" distR="0" wp14:anchorId="0F8F687A" wp14:editId="0BA7D256">
            <wp:extent cx="2229643" cy="1720703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643" cy="17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D2" w:rsidRDefault="00E476D2" w:rsidP="00E476D2">
      <w:pPr>
        <w:spacing w:after="267"/>
        <w:jc w:val="center"/>
      </w:pPr>
      <w:r>
        <w:rPr>
          <w:rFonts w:ascii="Times New Roman" w:eastAsia="Times New Roman" w:hAnsi="Times New Roman" w:cs="Times New Roman"/>
          <w:sz w:val="18"/>
        </w:rPr>
        <w:t>Figure 1 Circuit diagram</w:t>
      </w:r>
    </w:p>
    <w:p w:rsidR="00E476D2" w:rsidRDefault="00E476D2" w:rsidP="006773C8">
      <w:pPr>
        <w:spacing w:after="3"/>
        <w:ind w:left="-5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6773C8" w:rsidRPr="00CE41F3" w:rsidRDefault="006773C8" w:rsidP="00CE41F3">
      <w:pPr>
        <w:numPr>
          <w:ilvl w:val="0"/>
          <w:numId w:val="1"/>
        </w:numPr>
        <w:spacing w:after="32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Using DMM find resistance of the resistors and note down in the table.</w:t>
      </w:r>
    </w:p>
    <w:p w:rsidR="006773C8" w:rsidRPr="00CE41F3" w:rsidRDefault="006773C8" w:rsidP="00CE41F3">
      <w:pPr>
        <w:numPr>
          <w:ilvl w:val="0"/>
          <w:numId w:val="1"/>
        </w:numPr>
        <w:spacing w:after="32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Find voltage of DC source and voltage drop on each resistor and note down in the table.</w:t>
      </w:r>
    </w:p>
    <w:p w:rsidR="00E476D2" w:rsidRPr="00CE41F3" w:rsidRDefault="006773C8" w:rsidP="00CE41F3">
      <w:pPr>
        <w:numPr>
          <w:ilvl w:val="0"/>
          <w:numId w:val="1"/>
        </w:numPr>
        <w:spacing w:after="32" w:line="261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CE41F3">
        <w:rPr>
          <w:rFonts w:ascii="Times New Roman" w:eastAsia="Times New Roman" w:hAnsi="Times New Roman" w:cs="Times New Roman"/>
          <w:sz w:val="28"/>
          <w:szCs w:val="28"/>
        </w:rPr>
        <w:t>Add the voltage drops and compare with the source voltage by finding the percentage error.</w:t>
      </w:r>
    </w:p>
    <w:p w:rsidR="00E476D2" w:rsidRDefault="00E476D2" w:rsidP="00E476D2">
      <w:pPr>
        <w:spacing w:after="310" w:line="261" w:lineRule="auto"/>
        <w:ind w:left="345"/>
      </w:pPr>
    </w:p>
    <w:tbl>
      <w:tblPr>
        <w:tblStyle w:val="TableGrid"/>
        <w:tblpPr w:vertAnchor="page" w:horzAnchor="margin" w:tblpXSpec="center" w:tblpY="10705"/>
        <w:tblOverlap w:val="never"/>
        <w:tblW w:w="9135" w:type="dxa"/>
        <w:tblInd w:w="0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22"/>
        <w:gridCol w:w="1215"/>
        <w:gridCol w:w="1701"/>
        <w:gridCol w:w="1701"/>
        <w:gridCol w:w="1089"/>
        <w:gridCol w:w="953"/>
        <w:gridCol w:w="1654"/>
      </w:tblGrid>
      <w:tr w:rsidR="00750155" w:rsidTr="00750155">
        <w:trPr>
          <w:trHeight w:val="109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S.no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Vs</w:t>
            </w:r>
          </w:p>
          <w:p w:rsidR="00750155" w:rsidRDefault="00750155" w:rsidP="004E1681">
            <w:pPr>
              <w:spacing w:after="214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(actual)</w:t>
            </w:r>
          </w:p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V1</w:t>
            </w:r>
          </w:p>
          <w:p w:rsidR="00750155" w:rsidRDefault="00750155" w:rsidP="004E1681">
            <w:pPr>
              <w:spacing w:after="214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(Measured)</w:t>
            </w:r>
          </w:p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V2</w:t>
            </w:r>
          </w:p>
          <w:p w:rsidR="00750155" w:rsidRDefault="00750155" w:rsidP="004E1681">
            <w:pPr>
              <w:spacing w:after="214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(Measured)</w:t>
            </w:r>
          </w:p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spacing w:after="14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V1+V2</w:t>
            </w:r>
          </w:p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Error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spacing w:after="214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Percentage</w:t>
            </w:r>
          </w:p>
          <w:p w:rsidR="00750155" w:rsidRDefault="00750155" w:rsidP="004E1681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Error</w:t>
            </w:r>
          </w:p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(%)</w:t>
            </w:r>
          </w:p>
        </w:tc>
      </w:tr>
      <w:tr w:rsidR="00750155" w:rsidTr="00750155">
        <w:trPr>
          <w:trHeight w:val="389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4.30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0.19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3.8%</w:t>
            </w:r>
          </w:p>
        </w:tc>
      </w:tr>
      <w:tr w:rsidR="00750155" w:rsidTr="00750155">
        <w:trPr>
          <w:trHeight w:val="373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1.7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8.2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9.9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1%</w:t>
            </w:r>
          </w:p>
        </w:tc>
      </w:tr>
      <w:tr w:rsidR="00750155" w:rsidTr="00750155">
        <w:trPr>
          <w:trHeight w:val="373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2.6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12.5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15.1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0.67%</w:t>
            </w:r>
          </w:p>
        </w:tc>
      </w:tr>
      <w:tr w:rsidR="00750155" w:rsidTr="00750155">
        <w:trPr>
          <w:trHeight w:val="373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3.4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16.7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20.1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0.5%</w:t>
            </w:r>
          </w:p>
        </w:tc>
      </w:tr>
      <w:tr w:rsidR="00750155" w:rsidTr="00750155">
        <w:trPr>
          <w:trHeight w:val="373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4E16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5.2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24.9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30.1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155" w:rsidRDefault="00750155" w:rsidP="0015439E">
            <w:pPr>
              <w:jc w:val="center"/>
            </w:pPr>
            <w:r>
              <w:t>0.3%</w:t>
            </w:r>
          </w:p>
        </w:tc>
      </w:tr>
    </w:tbl>
    <w:p w:rsidR="00E476D2" w:rsidRDefault="00E476D2" w:rsidP="00E476D2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E476D2">
        <w:rPr>
          <w:rFonts w:ascii="Times New Roman" w:eastAsia="Times New Roman" w:hAnsi="Times New Roman" w:cs="Times New Roman"/>
          <w:b/>
          <w:sz w:val="32"/>
          <w:u w:val="single" w:color="000000"/>
        </w:rPr>
        <w:t>Observation:</w:t>
      </w:r>
    </w:p>
    <w:p w:rsidR="00185AE6" w:rsidRDefault="00185AE6" w:rsidP="00E476D2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185AE6" w:rsidRDefault="00185AE6" w:rsidP="00E476D2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185AE6" w:rsidRDefault="00185AE6" w:rsidP="00E476D2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4E1681" w:rsidRDefault="004E1681" w:rsidP="00E476D2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185AE6" w:rsidRDefault="00185AE6" w:rsidP="00E476D2">
      <w:pPr>
        <w:spacing w:after="3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bookmarkStart w:id="0" w:name="_GoBack"/>
      <w:bookmarkEnd w:id="0"/>
      <w:r w:rsidRPr="00185AE6">
        <w:rPr>
          <w:rFonts w:ascii="Times New Roman" w:eastAsia="Times New Roman" w:hAnsi="Times New Roman" w:cs="Times New Roman"/>
          <w:b/>
          <w:sz w:val="32"/>
          <w:u w:val="single" w:color="000000"/>
        </w:rPr>
        <w:t>Analysis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:</w:t>
      </w:r>
    </w:p>
    <w:p w:rsidR="006773C8" w:rsidRPr="008A57ED" w:rsidRDefault="008A57ED" w:rsidP="00E476D2">
      <w:pPr>
        <w:spacing w:after="3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8A57ED">
        <w:rPr>
          <w:rFonts w:ascii="Times New Roman" w:eastAsia="Times New Roman" w:hAnsi="Times New Roman" w:cs="Times New Roman"/>
          <w:sz w:val="28"/>
          <w:szCs w:val="28"/>
        </w:rPr>
        <w:t>From the observation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F56" w:rsidRPr="00EB6F56">
        <w:rPr>
          <w:rFonts w:ascii="Times New Roman" w:eastAsia="Times New Roman" w:hAnsi="Times New Roman" w:cs="Times New Roman"/>
          <w:sz w:val="28"/>
          <w:szCs w:val="28"/>
        </w:rPr>
        <w:t xml:space="preserve">in any </w:t>
      </w:r>
      <w:r w:rsidR="00146AAC">
        <w:rPr>
          <w:rFonts w:ascii="Times New Roman" w:eastAsia="Times New Roman" w:hAnsi="Times New Roman" w:cs="Times New Roman"/>
          <w:sz w:val="28"/>
          <w:szCs w:val="28"/>
        </w:rPr>
        <w:t>closed-loop</w:t>
      </w:r>
      <w:r w:rsidR="00EB6F56" w:rsidRPr="00EB6F56">
        <w:rPr>
          <w:rFonts w:ascii="Times New Roman" w:eastAsia="Times New Roman" w:hAnsi="Times New Roman" w:cs="Times New Roman"/>
          <w:sz w:val="28"/>
          <w:szCs w:val="28"/>
        </w:rPr>
        <w:t xml:space="preserve"> network, the total voltage around the loop is equal to the sum of all the voltage drops within the same loop</w:t>
      </w:r>
      <w:r w:rsidR="00146A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F56" w:rsidRPr="00EB6F56">
        <w:rPr>
          <w:rFonts w:ascii="Times New Roman" w:eastAsia="Times New Roman" w:hAnsi="Times New Roman" w:cs="Times New Roman"/>
          <w:sz w:val="28"/>
          <w:szCs w:val="28"/>
        </w:rPr>
        <w:t>which is also equal to zero. In other words</w:t>
      </w:r>
      <w:r w:rsidR="00146AAC">
        <w:rPr>
          <w:rFonts w:ascii="Times New Roman" w:eastAsia="Times New Roman" w:hAnsi="Times New Roman" w:cs="Times New Roman"/>
          <w:sz w:val="28"/>
          <w:szCs w:val="28"/>
        </w:rPr>
        <w:t>,</w:t>
      </w:r>
      <w:r w:rsidR="00EB6F56" w:rsidRPr="00EB6F56">
        <w:rPr>
          <w:rFonts w:ascii="Times New Roman" w:eastAsia="Times New Roman" w:hAnsi="Times New Roman" w:cs="Times New Roman"/>
          <w:sz w:val="28"/>
          <w:szCs w:val="28"/>
        </w:rPr>
        <w:t xml:space="preserve"> the algebraic sum of all voltages within the loop must be equal to zero.</w:t>
      </w:r>
    </w:p>
    <w:sectPr w:rsidR="006773C8" w:rsidRPr="008A57ED" w:rsidSect="00C11AF9"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1954"/>
    <w:multiLevelType w:val="hybridMultilevel"/>
    <w:tmpl w:val="188E5BF8"/>
    <w:lvl w:ilvl="0" w:tplc="BF56C3E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09E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48D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A1C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6EF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88D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EDB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2B2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8C3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3E573D"/>
    <w:multiLevelType w:val="hybridMultilevel"/>
    <w:tmpl w:val="188E5BF8"/>
    <w:lvl w:ilvl="0" w:tplc="BF56C3E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09E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48D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A1C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6EF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88D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EDB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2B2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8C3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14A8B"/>
    <w:multiLevelType w:val="hybridMultilevel"/>
    <w:tmpl w:val="15D6140E"/>
    <w:lvl w:ilvl="0" w:tplc="BF1C0F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82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2E4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A04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C8E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06B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C6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AF9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0407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68"/>
    <w:rsid w:val="000930AE"/>
    <w:rsid w:val="00146AAC"/>
    <w:rsid w:val="0015439E"/>
    <w:rsid w:val="00176799"/>
    <w:rsid w:val="00185AE6"/>
    <w:rsid w:val="00462BDC"/>
    <w:rsid w:val="004E1681"/>
    <w:rsid w:val="006773C8"/>
    <w:rsid w:val="0069328B"/>
    <w:rsid w:val="00750155"/>
    <w:rsid w:val="00753376"/>
    <w:rsid w:val="007F5CDE"/>
    <w:rsid w:val="008A57ED"/>
    <w:rsid w:val="009016FF"/>
    <w:rsid w:val="00C11AF9"/>
    <w:rsid w:val="00CE41F3"/>
    <w:rsid w:val="00CF0A33"/>
    <w:rsid w:val="00E476D2"/>
    <w:rsid w:val="00EB6F56"/>
    <w:rsid w:val="00F4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9E65"/>
  <w15:chartTrackingRefBased/>
  <w15:docId w15:val="{5662ACDC-C0C1-4623-9B36-5DDFFDBA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8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73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1770-B62F-4176-B261-04EA6266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17</cp:revision>
  <cp:lastPrinted>2022-05-26T02:45:00Z</cp:lastPrinted>
  <dcterms:created xsi:type="dcterms:W3CDTF">2022-05-25T10:11:00Z</dcterms:created>
  <dcterms:modified xsi:type="dcterms:W3CDTF">2022-05-26T02:45:00Z</dcterms:modified>
</cp:coreProperties>
</file>