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8E" w:rsidRPr="00D074FC" w:rsidRDefault="00ED6C8E" w:rsidP="00ED6C8E">
      <w:pPr>
        <w:spacing w:after="0" w:line="265" w:lineRule="auto"/>
        <w:ind w:left="10" w:right="72"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Assignment No 4</w:t>
      </w:r>
    </w:p>
    <w:p w:rsidR="00ED6C8E" w:rsidRDefault="00ED6C8E" w:rsidP="00ED6C8E">
      <w:pPr>
        <w:spacing w:after="1078"/>
        <w:jc w:val="center"/>
      </w:pPr>
      <w:r>
        <w:rPr>
          <w:noProof/>
        </w:rPr>
        <w:drawing>
          <wp:inline distT="0" distB="0" distL="0" distR="0" wp14:anchorId="0AD54FE9" wp14:editId="34674AFA">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ED6C8E" w:rsidRPr="00185CA3" w:rsidRDefault="00ED6C8E" w:rsidP="00ED6C8E">
      <w:pPr>
        <w:spacing w:after="182" w:line="265" w:lineRule="auto"/>
        <w:ind w:left="10" w:right="96" w:hanging="10"/>
        <w:jc w:val="center"/>
        <w:rPr>
          <w:sz w:val="36"/>
        </w:rPr>
      </w:pPr>
      <w:r>
        <w:rPr>
          <w:rFonts w:ascii="Times New Roman" w:eastAsia="Times New Roman" w:hAnsi="Times New Roman" w:cs="Times New Roman"/>
          <w:sz w:val="40"/>
        </w:rPr>
        <w:t>Spring</w:t>
      </w:r>
      <w:r w:rsidRPr="00185CA3">
        <w:rPr>
          <w:rFonts w:ascii="Times New Roman" w:eastAsia="Times New Roman" w:hAnsi="Times New Roman" w:cs="Times New Roman"/>
          <w:sz w:val="40"/>
        </w:rPr>
        <w:t xml:space="preserve"> 202</w:t>
      </w:r>
      <w:r>
        <w:rPr>
          <w:rFonts w:ascii="Times New Roman" w:eastAsia="Times New Roman" w:hAnsi="Times New Roman" w:cs="Times New Roman"/>
          <w:sz w:val="40"/>
        </w:rPr>
        <w:t>5</w:t>
      </w:r>
    </w:p>
    <w:p w:rsidR="00ED6C8E" w:rsidRPr="002B4449" w:rsidRDefault="00ED6C8E" w:rsidP="00ED6C8E">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CSE-406</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Engineering Project</w:t>
      </w:r>
      <w:r w:rsidRPr="00C722A2">
        <w:rPr>
          <w:rFonts w:ascii="Times New Roman" w:eastAsia="Times New Roman" w:hAnsi="Times New Roman" w:cs="Times New Roman"/>
          <w:b/>
          <w:sz w:val="36"/>
        </w:rPr>
        <w:t xml:space="preserve"> </w:t>
      </w:r>
      <w:r>
        <w:rPr>
          <w:rFonts w:ascii="Times New Roman" w:eastAsia="Times New Roman" w:hAnsi="Times New Roman" w:cs="Times New Roman"/>
          <w:b/>
          <w:sz w:val="36"/>
        </w:rPr>
        <w:t>Management</w:t>
      </w:r>
    </w:p>
    <w:p w:rsidR="00ED6C8E" w:rsidRPr="00882F69" w:rsidRDefault="00ED6C8E" w:rsidP="00ED6C8E">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ED6C8E" w:rsidRPr="00882F69" w:rsidRDefault="00ED6C8E" w:rsidP="00ED6C8E">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ED6C8E" w:rsidRDefault="00ED6C8E" w:rsidP="00ED6C8E">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ED6C8E" w:rsidRPr="0029201D" w:rsidRDefault="00ED6C8E" w:rsidP="00ED6C8E">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ED6C8E" w:rsidRPr="00185CA3" w:rsidRDefault="00ED6C8E" w:rsidP="00ED6C8E">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ED6C8E" w:rsidRPr="003B7D40" w:rsidRDefault="00ED6C8E" w:rsidP="00ED6C8E">
      <w:pPr>
        <w:spacing w:after="105" w:line="265" w:lineRule="auto"/>
        <w:ind w:left="10" w:right="62" w:hanging="10"/>
        <w:jc w:val="center"/>
        <w:rPr>
          <w:rFonts w:ascii="Times New Roman" w:eastAsia="Times New Roman" w:hAnsi="Times New Roman" w:cs="Times New Roman"/>
          <w:sz w:val="32"/>
        </w:rPr>
      </w:pPr>
      <w:r>
        <w:rPr>
          <w:rFonts w:ascii="Times New Roman" w:eastAsia="Times New Roman" w:hAnsi="Times New Roman" w:cs="Times New Roman"/>
          <w:sz w:val="32"/>
        </w:rPr>
        <w:t>D</w:t>
      </w:r>
      <w:r>
        <w:rPr>
          <w:rFonts w:ascii="Times New Roman" w:eastAsia="Times New Roman" w:hAnsi="Times New Roman" w:cs="Times New Roman"/>
          <w:sz w:val="32"/>
        </w:rPr>
        <w:t xml:space="preserve">r. </w:t>
      </w:r>
      <w:proofErr w:type="spellStart"/>
      <w:r w:rsidR="00AC762D">
        <w:rPr>
          <w:rFonts w:ascii="Times New Roman" w:eastAsia="Times New Roman" w:hAnsi="Times New Roman" w:cs="Times New Roman"/>
          <w:sz w:val="32"/>
        </w:rPr>
        <w:t>Samad</w:t>
      </w:r>
      <w:proofErr w:type="spellEnd"/>
      <w:r w:rsidR="00AC762D">
        <w:rPr>
          <w:rFonts w:ascii="Times New Roman" w:eastAsia="Times New Roman" w:hAnsi="Times New Roman" w:cs="Times New Roman"/>
          <w:sz w:val="32"/>
        </w:rPr>
        <w:t xml:space="preserve"> Base</w:t>
      </w:r>
      <w:r>
        <w:rPr>
          <w:rFonts w:ascii="Times New Roman" w:eastAsia="Times New Roman" w:hAnsi="Times New Roman" w:cs="Times New Roman"/>
          <w:sz w:val="32"/>
        </w:rPr>
        <w:t>r</w:t>
      </w:r>
    </w:p>
    <w:p w:rsidR="00ED6C8E" w:rsidRDefault="00ED6C8E" w:rsidP="00B3106A">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B3106A">
        <w:rPr>
          <w:rFonts w:ascii="Times New Roman" w:eastAsia="Times New Roman" w:hAnsi="Times New Roman" w:cs="Times New Roman"/>
          <w:sz w:val="32"/>
        </w:rPr>
        <w:t>12</w:t>
      </w:r>
      <w:r>
        <w:rPr>
          <w:rFonts w:ascii="Times New Roman" w:eastAsia="Times New Roman" w:hAnsi="Times New Roman" w:cs="Times New Roman"/>
          <w:sz w:val="32"/>
        </w:rPr>
        <w:t xml:space="preserve"> </w:t>
      </w:r>
      <w:r w:rsidR="00B3106A">
        <w:rPr>
          <w:rFonts w:ascii="Times New Roman" w:eastAsia="Times New Roman" w:hAnsi="Times New Roman" w:cs="Times New Roman"/>
          <w:sz w:val="32"/>
        </w:rPr>
        <w:t>June</w:t>
      </w:r>
      <w:r w:rsidRPr="00185CA3">
        <w:rPr>
          <w:rFonts w:ascii="Times New Roman" w:eastAsia="Times New Roman" w:hAnsi="Times New Roman" w:cs="Times New Roman"/>
          <w:sz w:val="32"/>
        </w:rPr>
        <w:t xml:space="preserve"> 202</w:t>
      </w:r>
      <w:r>
        <w:rPr>
          <w:rFonts w:ascii="Times New Roman" w:eastAsia="Times New Roman" w:hAnsi="Times New Roman" w:cs="Times New Roman"/>
          <w:sz w:val="32"/>
        </w:rPr>
        <w:t>5</w:t>
      </w:r>
      <w:r w:rsidRPr="00185CA3">
        <w:rPr>
          <w:rFonts w:ascii="Times New Roman" w:eastAsia="Times New Roman" w:hAnsi="Times New Roman" w:cs="Times New Roman"/>
          <w:sz w:val="32"/>
        </w:rPr>
        <w:t>)</w:t>
      </w:r>
    </w:p>
    <w:p w:rsidR="00ED6C8E" w:rsidRDefault="00ED6C8E" w:rsidP="00ED6C8E">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ED6C8E" w:rsidRDefault="00ED6C8E" w:rsidP="00ED6C8E">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ED6C8E" w:rsidRDefault="00ED6C8E" w:rsidP="00ED6C8E">
      <w:pPr>
        <w:rPr>
          <w:rFonts w:asciiTheme="majorHAnsi" w:eastAsiaTheme="majorEastAsia" w:hAnsiTheme="majorHAnsi" w:cstheme="majorBidi"/>
          <w:color w:val="365F91" w:themeColor="accent1" w:themeShade="BF"/>
          <w:sz w:val="28"/>
          <w:szCs w:val="28"/>
        </w:rPr>
      </w:pPr>
      <w:r>
        <w:br w:type="page"/>
      </w:r>
    </w:p>
    <w:p w:rsidR="009E4548" w:rsidRDefault="00906D28">
      <w:pPr>
        <w:pStyle w:val="Heading1"/>
      </w:pPr>
      <w:r>
        <w:lastRenderedPageBreak/>
        <w:t>E</w:t>
      </w:r>
      <w:r>
        <w:t>NGINEERING PROJECT MANAGEMENT</w:t>
      </w:r>
    </w:p>
    <w:p w:rsidR="009E4548" w:rsidRDefault="00906D28" w:rsidP="00ED6C8E">
      <w:r>
        <w:t xml:space="preserve">CSE 406 ASSIGNMENT NO 4 </w:t>
      </w:r>
      <w:r>
        <w:t>-</w:t>
      </w:r>
      <w:r>
        <w:t xml:space="preserve"> SOLUTIONS</w:t>
      </w:r>
    </w:p>
    <w:p w:rsidR="009E4548" w:rsidRDefault="00906D28">
      <w:pPr>
        <w:pStyle w:val="Heading2"/>
      </w:pPr>
      <w:r>
        <w:t>1. Ethical Branding and Consumer Activism</w:t>
      </w:r>
    </w:p>
    <w:p w:rsidR="009E4548" w:rsidRDefault="00906D28">
      <w:r>
        <w:t xml:space="preserve">In politically polarized markets like Pakistan, ethical branding requires a fine balance between global brand values and local cultural sensitivities. Companies like Starbucks or McDonald's must acknowledge rising consumer awareness driven by social media </w:t>
      </w:r>
      <w:r>
        <w:t xml:space="preserve">and digital platforms. In Pakistan, activism over geopolitical conflicts is highly influenced by public sentiment and religious identity. </w:t>
      </w:r>
      <w:r>
        <w:br/>
      </w:r>
      <w:r>
        <w:br/>
        <w:t>To ethically navigate this, brands should adopt a transparent communication strategy rooted in empathy and neutralit</w:t>
      </w:r>
      <w:r>
        <w:t>y. This includes issuing statements that focus on humanitarian concerns rather than political alignment. For example, local competitors like OPTP or Kolachi Foods emphasize local employment and philanthropy during crises, which helps them maintain public t</w:t>
      </w:r>
      <w:r>
        <w:t>rust.</w:t>
      </w:r>
      <w:r>
        <w:br/>
      </w:r>
      <w:r>
        <w:br/>
        <w:t>Global peers such as Unilever have successfully localized CSR campaigns that resonate with regional ethics while maintaining brand consistency. Ethical branding should also be proactive, including sustainable sourcing, equitable labor practices, and</w:t>
      </w:r>
      <w:r>
        <w:t xml:space="preserve"> community investment to foster long-term goodwill.</w:t>
      </w:r>
    </w:p>
    <w:p w:rsidR="009E4548" w:rsidRDefault="00906D28">
      <w:pPr>
        <w:pStyle w:val="Heading2"/>
      </w:pPr>
      <w:r>
        <w:t>2. Crisis Management in Franchised Business Models</w:t>
      </w:r>
    </w:p>
    <w:p w:rsidR="009E4548" w:rsidRDefault="00906D28">
      <w:r>
        <w:t>Franchisees in politically sensitive regions should be granted flexibility in managing crisis communications. In the 2023-2024 Israel-Palestine conflict,</w:t>
      </w:r>
      <w:r>
        <w:t xml:space="preserve"> rigid corporate messaging from centralized offices often led to backlash in Muslim-majority countries. Legal separation of franchise ownership does not shield brand image, as consumers perceive all outlets under a single brand umbrella.</w:t>
      </w:r>
      <w:r>
        <w:br/>
      </w:r>
      <w:r>
        <w:br/>
        <w:t>Brands should dev</w:t>
      </w:r>
      <w:r>
        <w:t>elop modular communication frameworks allowing franchisees to respond with locally relevant messages. This could include localized CSR efforts, partnerships with respected community organizations, and culturally aware donation campaigns.</w:t>
      </w:r>
      <w:r>
        <w:br/>
      </w:r>
      <w:r>
        <w:br/>
        <w:t>Unilever's decent</w:t>
      </w:r>
      <w:r>
        <w:t>ralized model allows regional offices greater autonomy in marketing and social campaigns. Nestlé’s sustainability efforts in Pakistan highlight the importance of trust and engagement. Multinationals must embrace glocalization—global strategy with local imp</w:t>
      </w:r>
      <w:r>
        <w:t>lementation—for effective crisis management.</w:t>
      </w:r>
    </w:p>
    <w:p w:rsidR="009E4548" w:rsidRDefault="00906D28">
      <w:pPr>
        <w:pStyle w:val="Heading2"/>
      </w:pPr>
      <w:r>
        <w:t>3. SWOT Strategy for Conflict-Prone Markets</w:t>
      </w:r>
    </w:p>
    <w:p w:rsidR="009E4548" w:rsidRDefault="00906D28" w:rsidP="00D53407">
      <w:r>
        <w:t>Strengths:</w:t>
      </w:r>
      <w:r>
        <w:t xml:space="preserve"> Brand recognition, global quality standards, existing infrastructure.</w:t>
      </w:r>
      <w:r>
        <w:br/>
      </w:r>
      <w:r>
        <w:t>Weaknesses:</w:t>
      </w:r>
      <w:r w:rsidR="00D53407">
        <w:t xml:space="preserve"> </w:t>
      </w:r>
      <w:r>
        <w:t>Perceived foreign allegiance, low cultural integration.</w:t>
      </w:r>
      <w:r>
        <w:br/>
      </w:r>
      <w:r>
        <w:t>Opportun</w:t>
      </w:r>
      <w:r>
        <w:t>ities:</w:t>
      </w:r>
      <w:r>
        <w:t xml:space="preserve"> Local partnerships, CSR campaigns, market gap due to competitors' missteps.</w:t>
      </w:r>
      <w:r>
        <w:br/>
      </w:r>
      <w:r>
        <w:lastRenderedPageBreak/>
        <w:t>Threats:</w:t>
      </w:r>
      <w:r>
        <w:t xml:space="preserve"> Boycotts, regulatory backlash, safety risks to staff.</w:t>
      </w:r>
      <w:r>
        <w:br/>
      </w:r>
      <w:r>
        <w:br/>
      </w:r>
      <w:r>
        <w:t>Short-Term Actions</w:t>
      </w:r>
      <w:proofErr w:type="gramStart"/>
      <w:r>
        <w:t>:</w:t>
      </w:r>
      <w:proofErr w:type="gramEnd"/>
      <w:r>
        <w:br/>
        <w:t>- Launch a public CSR initiative focused on local humanitarian causes.</w:t>
      </w:r>
      <w:r>
        <w:br/>
        <w:t>- Engage</w:t>
      </w:r>
      <w:r>
        <w:t xml:space="preserve"> local influencers to rebuild brand trust.</w:t>
      </w:r>
      <w:r>
        <w:br/>
        <w:t>- Provide safety protocols for employees and</w:t>
      </w:r>
      <w:r w:rsidR="00D53407">
        <w:t xml:space="preserve"> stores.</w:t>
      </w:r>
      <w:r w:rsidR="00D53407">
        <w:br/>
      </w:r>
      <w:r w:rsidR="00D53407">
        <w:br/>
        <w:t>Long-Term Actions</w:t>
      </w:r>
      <w:proofErr w:type="gramStart"/>
      <w:r w:rsidR="00D53407">
        <w:t>:</w:t>
      </w:r>
      <w:proofErr w:type="gramEnd"/>
      <w:r>
        <w:br/>
        <w:t>- Invest in local supply chains and employment.</w:t>
      </w:r>
      <w:r>
        <w:br/>
        <w:t>- Develop localized marketing campaigns aligned with national values.</w:t>
      </w:r>
      <w:r>
        <w:br/>
        <w:t>- Establish a poli</w:t>
      </w:r>
      <w:r>
        <w:t>tical risk mitigation team to prepare for future conflicts.</w:t>
      </w:r>
      <w:r>
        <w:br/>
      </w:r>
      <w:r>
        <w:br/>
        <w:t>By addressing socio-political realities proactively, brands can recover market share and reinforce trust.</w:t>
      </w:r>
    </w:p>
    <w:p w:rsidR="009E4548" w:rsidRDefault="00906D28">
      <w:pPr>
        <w:pStyle w:val="Heading2"/>
      </w:pPr>
      <w:r>
        <w:t>4. The Role of Localization in Brand Survival</w:t>
      </w:r>
    </w:p>
    <w:p w:rsidR="009E4548" w:rsidRDefault="00906D28">
      <w:r>
        <w:t>Localization involves tailoring products, m</w:t>
      </w:r>
      <w:r>
        <w:t>essaging, and operations to local cultural, political, and religious contexts. This contrasts with global standardization, which assumes a uniform global audience.</w:t>
      </w:r>
      <w:r>
        <w:br/>
      </w:r>
      <w:r>
        <w:br/>
        <w:t>In Pakistan, brands like Surf Excel and Shan Foods have succeeded through storytelling that</w:t>
      </w:r>
      <w:r>
        <w:t xml:space="preserve"> reflects local values. Localization must include:</w:t>
      </w:r>
      <w:r>
        <w:br/>
        <w:t>- Hiring and training staff in cultural sensitivity.</w:t>
      </w:r>
      <w:r>
        <w:br/>
        <w:t>- Localizing product offerings and sourcing.</w:t>
      </w:r>
      <w:r>
        <w:br/>
        <w:t>- Customizing public relations efforts to match national sentiment.</w:t>
      </w:r>
      <w:r>
        <w:br/>
      </w:r>
      <w:r>
        <w:br/>
        <w:t>Ignoring local political realities—suc</w:t>
      </w:r>
      <w:r>
        <w:t>h as during regional conflicts—can cause irreversible brand damage. Sensitivity to religious observances, historical events, and language nuances ensures consumer loyalty and operational longevity.</w:t>
      </w:r>
    </w:p>
    <w:p w:rsidR="009E4548" w:rsidRDefault="00906D28">
      <w:pPr>
        <w:pStyle w:val="Heading2"/>
      </w:pPr>
      <w:r>
        <w:t>5. Geopolitics vs. Profit</w:t>
      </w:r>
    </w:p>
    <w:p w:rsidR="009E4548" w:rsidRDefault="00906D28">
      <w:r>
        <w:t>It is nearly impossible for mult</w:t>
      </w:r>
      <w:r>
        <w:t>inational corporations to remain untouched by geopolitical controversies. Supply chains, human rights issues, and global events inherently tie brands to political narratives.</w:t>
      </w:r>
      <w:r>
        <w:br/>
      </w:r>
      <w:r>
        <w:br/>
        <w:t>The 2023 Israel-Palestine conflict demonstrated how MNCs like McDonald’s were af</w:t>
      </w:r>
      <w:r>
        <w:t>fected by calls for boycotts, even when they attempted neutrality. The illusion of neutrality fails when public perception associates global brands with political positions through their silence or action.</w:t>
      </w:r>
      <w:r>
        <w:br/>
      </w:r>
      <w:r>
        <w:br/>
        <w:t>Brands that acknowledged humanitarian concerns wi</w:t>
      </w:r>
      <w:r>
        <w:t>thout political bias—like Ben &amp; Jerry’s or Unilever—maintain</w:t>
      </w:r>
      <w:r w:rsidR="00D53407">
        <w:t>ed better reputation scores.</w:t>
      </w:r>
      <w:r w:rsidR="00D53407">
        <w:br/>
      </w:r>
      <w:r w:rsidR="00D53407">
        <w:br/>
        <w:t>Strategic Recommendations</w:t>
      </w:r>
      <w:proofErr w:type="gramStart"/>
      <w:r w:rsidR="00D53407">
        <w:t>:</w:t>
      </w:r>
      <w:proofErr w:type="gramEnd"/>
      <w:r>
        <w:br/>
      </w:r>
      <w:r>
        <w:lastRenderedPageBreak/>
        <w:t>- Develop a geopolitical risk strategy integrated into corporate planning.</w:t>
      </w:r>
      <w:r>
        <w:br/>
        <w:t>- Ensure ethical audits of supply chains.</w:t>
      </w:r>
      <w:r>
        <w:br/>
        <w:t>- Empower regional</w:t>
      </w:r>
      <w:r>
        <w:t xml:space="preserve"> branches for faster, culturally appropriate responses.</w:t>
      </w:r>
      <w:r>
        <w:br/>
      </w:r>
      <w:r>
        <w:br/>
        <w:t>Ultimately, while full neutrality is a myth, strategic empathy and localized responsiveness can balance profitability and ethics.</w:t>
      </w:r>
      <w:bookmarkStart w:id="0" w:name="_GoBack"/>
      <w:bookmarkEnd w:id="0"/>
    </w:p>
    <w:sectPr w:rsidR="009E4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B2B94"/>
    <w:rsid w:val="00326F90"/>
    <w:rsid w:val="00906D28"/>
    <w:rsid w:val="009E4548"/>
    <w:rsid w:val="00AA1D8D"/>
    <w:rsid w:val="00AC762D"/>
    <w:rsid w:val="00B3106A"/>
    <w:rsid w:val="00B47730"/>
    <w:rsid w:val="00CB0664"/>
    <w:rsid w:val="00D53407"/>
    <w:rsid w:val="00ED6C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26DE3"/>
  <w14:defaultImageDpi w14:val="300"/>
  <w15:docId w15:val="{948F9E33-05FC-44C9-92D3-2BF02C8A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7244E-8C1D-475B-9689-D8903E29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21PWCSE2028</cp:lastModifiedBy>
  <cp:revision>2</cp:revision>
  <cp:lastPrinted>2025-06-12T11:02:00Z</cp:lastPrinted>
  <dcterms:created xsi:type="dcterms:W3CDTF">2025-06-12T11:02:00Z</dcterms:created>
  <dcterms:modified xsi:type="dcterms:W3CDTF">2025-06-12T11:02:00Z</dcterms:modified>
  <cp:category/>
</cp:coreProperties>
</file>