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  <w:t>拉合尔换流站换流变铁芯夹件电流记录</w:t>
      </w:r>
    </w:p>
    <w:p>
      <w:pPr>
        <w:spacing w:after="156" w:afterLines="50" w:line="500" w:lineRule="exact"/>
        <w:jc w:val="center"/>
        <w:rPr>
          <w:rFonts w:ascii="方正小标宋_GBK" w:hAnsi="宋体" w:eastAsia="方正小标宋_GBK" w:cs="Times New Roman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Transformer Core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nd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Clamp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Record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06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17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39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919" w:type="dxa"/>
        <w:jc w:val="center"/>
        <w:tblInd w:w="-96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193"/>
        <w:gridCol w:w="1193"/>
        <w:gridCol w:w="1193"/>
        <w:gridCol w:w="16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TP-P1</w:t>
            </w:r>
          </w:p>
        </w:tc>
        <w:tc>
          <w:tcPr>
            <w:tcW w:w="525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8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130.5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73.2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131.1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70.3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71.8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28.4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130.5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73.2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167.9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67.8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70.2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20.3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162.7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65.6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74.1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165.6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65.1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75.1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TP-P2</w:t>
            </w:r>
          </w:p>
        </w:tc>
        <w:tc>
          <w:tcPr>
            <w:tcW w:w="525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8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130.1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69.7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73.3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27.7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129.2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69.5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27.3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134.2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72.4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27.5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169.3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67.2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70.6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163.4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66.8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72.6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169.9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65.9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71.0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20.4</w:t>
            </w:r>
          </w:p>
        </w:tc>
      </w:tr>
    </w:tbl>
    <w:p>
      <w:pPr>
        <w:spacing w:before="468" w:beforeLines="150"/>
        <w:ind w:firstLine="1050" w:firstLineChars="500"/>
        <w:jc w:val="left"/>
        <w:rPr>
          <w:rFonts w:ascii="方正仿宋_GBK" w:eastAsia="方正仿宋_GBK"/>
        </w:rPr>
      </w:pPr>
      <w:r>
        <w:rPr>
          <w:rFonts w:hint="eastAsia" w:ascii="方正仿宋_GBK" w:eastAsia="方正仿宋_GBK"/>
          <w:szCs w:val="21"/>
        </w:rPr>
        <w:t>记录人（</w:t>
      </w:r>
      <w:r>
        <w:rPr>
          <w:rFonts w:hint="eastAsia" w:ascii="方正仿宋_GBK" w:hAnsi="宋体" w:eastAsia="方正仿宋_GBK"/>
          <w:kern w:val="0"/>
          <w:szCs w:val="21"/>
        </w:rPr>
        <w:t>Recorder</w:t>
      </w:r>
      <w:r>
        <w:rPr>
          <w:rFonts w:hint="eastAsia" w:ascii="方正仿宋_GBK" w:eastAsia="方正仿宋_GBK"/>
          <w:szCs w:val="21"/>
        </w:rPr>
        <w:t>）：</w:t>
      </w:r>
      <w:bookmarkStart w:id="2" w:name="_GoBack"/>
      <w:bookmarkEnd w:id="2"/>
      <w:r>
        <w:rPr>
          <w:rFonts w:hint="eastAsia" w:ascii="方正仿宋_GBK" w:eastAsia="方正仿宋_GBK"/>
          <w:szCs w:val="21"/>
          <w:u w:val="single"/>
          <w:lang w:val="en-US" w:eastAsia="zh-CN"/>
        </w:rPr>
        <w:t>Abu Bakar &amp; Ehzaz</w:t>
      </w:r>
      <w:r>
        <w:rPr>
          <w:rFonts w:hint="eastAsia" w:ascii="方正仿宋_GBK" w:eastAsia="方正仿宋_GBK"/>
          <w:szCs w:val="21"/>
        </w:rPr>
        <w:t xml:space="preserve">    </w:t>
      </w:r>
      <w:r>
        <w:rPr>
          <w:rFonts w:hint="eastAsia" w:ascii="方正仿宋_GBK" w:eastAsia="方正仿宋_GBK"/>
          <w:szCs w:val="21"/>
          <w:lang w:val="en-US" w:eastAsia="zh-CN"/>
        </w:rPr>
        <w:t xml:space="preserve"> </w:t>
      </w:r>
      <w:r>
        <w:rPr>
          <w:rFonts w:hint="eastAsia" w:ascii="方正仿宋_GBK" w:eastAsia="方正仿宋_GBK"/>
          <w:szCs w:val="21"/>
        </w:rPr>
        <w:t xml:space="preserve">   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8141A8A"/>
    <w:rsid w:val="19306FEE"/>
    <w:rsid w:val="1B605247"/>
    <w:rsid w:val="1C6B54BC"/>
    <w:rsid w:val="1D8146D0"/>
    <w:rsid w:val="1DF70064"/>
    <w:rsid w:val="20EB0300"/>
    <w:rsid w:val="21F562A4"/>
    <w:rsid w:val="250D7953"/>
    <w:rsid w:val="25FA3A07"/>
    <w:rsid w:val="275A5E6A"/>
    <w:rsid w:val="2BC71F5B"/>
    <w:rsid w:val="2D927DA8"/>
    <w:rsid w:val="40B87FCC"/>
    <w:rsid w:val="42D75889"/>
    <w:rsid w:val="434D5753"/>
    <w:rsid w:val="45165EF4"/>
    <w:rsid w:val="468E4A40"/>
    <w:rsid w:val="47CF0906"/>
    <w:rsid w:val="4AF05626"/>
    <w:rsid w:val="4BF76414"/>
    <w:rsid w:val="50B02559"/>
    <w:rsid w:val="5197285B"/>
    <w:rsid w:val="53B17104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9F2815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65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2021-06-17T04:53:36Z</cp:lastPrinted>
  <dcterms:modified xsi:type="dcterms:W3CDTF">2021-06-17T06:22:48Z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