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40" w:lineRule="exact"/>
        <w:jc w:val="center"/>
        <w:rPr>
          <w:rFonts w:ascii="方正小标宋_GBK" w:eastAsia="方正小标宋_GBK" w:cs="宋体"/>
          <w:kern w:val="0"/>
          <w:sz w:val="24"/>
          <w:szCs w:val="36"/>
        </w:rPr>
      </w:pPr>
      <w:bookmarkStart w:id="0" w:name="_GoBack"/>
      <w:bookmarkEnd w:id="0"/>
      <w:r>
        <w:rPr>
          <w:rFonts w:hint="eastAsia" w:ascii="方正小标宋_GBK" w:eastAsia="方正小标宋_GBK" w:cs="宋体"/>
          <w:kern w:val="0"/>
          <w:sz w:val="24"/>
          <w:szCs w:val="36"/>
        </w:rPr>
        <w:t>微机防误系统主机除尘，电源、通讯适配器等附件维护标准化作业卡</w:t>
      </w:r>
    </w:p>
    <w:p>
      <w:pPr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1.作业信息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253"/>
        <w:gridCol w:w="1134"/>
        <w:gridCol w:w="1865"/>
        <w:gridCol w:w="1134"/>
        <w:gridCol w:w="16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设备双重名称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  <w:lang w:eastAsia="zh-CN"/>
              </w:rPr>
              <w:t>拉合尔</w:t>
            </w:r>
            <w:r>
              <w:rPr>
                <w:rFonts w:hint="eastAsia" w:ascii="方正仿宋_GBK" w:hAnsi="宋体" w:eastAsia="方正仿宋_GBK"/>
                <w:sz w:val="18"/>
              </w:rPr>
              <w:t>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工作时间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sz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作业卡编号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  <w:lang w:eastAsia="zh-CN"/>
              </w:rPr>
              <w:t>拉合尔</w:t>
            </w:r>
            <w:r>
              <w:rPr>
                <w:rFonts w:hint="eastAsia" w:ascii="方正仿宋_GBK" w:hAnsi="宋体" w:eastAsia="方正仿宋_GBK"/>
                <w:sz w:val="18"/>
              </w:rPr>
              <w:t>站20200904</w:t>
            </w:r>
          </w:p>
        </w:tc>
      </w:tr>
    </w:tbl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2</w:t>
      </w:r>
      <w:r>
        <w:rPr>
          <w:rFonts w:hint="eastAsia" w:ascii="黑体" w:hAnsi="黑体" w:eastAsia="黑体"/>
          <w:szCs w:val="21"/>
        </w:rPr>
        <w:t>.工序要求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468"/>
        <w:gridCol w:w="2428"/>
        <w:gridCol w:w="2355"/>
        <w:gridCol w:w="14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86" w:rightChars="-41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序号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ind w:left="-2" w:right="-86" w:rightChars="-41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关键工序</w:t>
            </w:r>
          </w:p>
        </w:tc>
        <w:tc>
          <w:tcPr>
            <w:tcW w:w="2428" w:type="dxa"/>
            <w:vAlign w:val="center"/>
          </w:tcPr>
          <w:p>
            <w:pPr>
              <w:pStyle w:val="2"/>
              <w:ind w:left="-2" w:right="-86" w:rightChars="-41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质量标准及要求</w:t>
            </w:r>
          </w:p>
        </w:tc>
        <w:tc>
          <w:tcPr>
            <w:tcW w:w="2355" w:type="dxa"/>
            <w:vAlign w:val="center"/>
          </w:tcPr>
          <w:p>
            <w:pPr>
              <w:pStyle w:val="2"/>
              <w:ind w:left="-2" w:right="-86" w:rightChars="-41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风险辨识与预控措施</w:t>
            </w:r>
          </w:p>
        </w:tc>
        <w:tc>
          <w:tcPr>
            <w:tcW w:w="1400" w:type="dxa"/>
            <w:vAlign w:val="center"/>
          </w:tcPr>
          <w:p>
            <w:pPr>
              <w:pStyle w:val="2"/>
              <w:ind w:left="-2" w:right="-86" w:rightChars="-41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</w:t>
            </w:r>
          </w:p>
        </w:tc>
        <w:tc>
          <w:tcPr>
            <w:tcW w:w="6251" w:type="dxa"/>
            <w:gridSpan w:val="3"/>
            <w:vAlign w:val="center"/>
          </w:tcPr>
          <w:p>
            <w:pPr>
              <w:pStyle w:val="2"/>
              <w:ind w:left="-2" w:right="17" w:rightChars="8" w:firstLine="0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系统主机除尘，电源、通讯适配器等附件维护</w:t>
            </w:r>
          </w:p>
        </w:tc>
        <w:tc>
          <w:tcPr>
            <w:tcW w:w="1400" w:type="dxa"/>
          </w:tcPr>
          <w:p>
            <w:pPr>
              <w:pStyle w:val="2"/>
              <w:ind w:left="0" w:right="-153"/>
              <w:rPr>
                <w:rFonts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1.1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ind w:left="-2" w:right="17" w:rightChars="8" w:firstLine="0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备件、工器具准备工作</w:t>
            </w:r>
          </w:p>
        </w:tc>
        <w:tc>
          <w:tcPr>
            <w:tcW w:w="2428" w:type="dxa"/>
          </w:tcPr>
          <w:p>
            <w:pPr>
              <w:spacing w:line="240" w:lineRule="exact"/>
              <w:ind w:right="-14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1.1.1工器具：用吹风、毛巾、棉签、毛刷、适量纸巾、橡皮擦、螺丝刀、手套。</w:t>
            </w:r>
          </w:p>
          <w:p>
            <w:pPr>
              <w:spacing w:line="240" w:lineRule="exact"/>
              <w:ind w:right="-14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1.1.2备品备件：屏幕清洁剂。</w:t>
            </w:r>
          </w:p>
        </w:tc>
        <w:tc>
          <w:tcPr>
            <w:tcW w:w="2355" w:type="dxa"/>
            <w:vAlign w:val="center"/>
          </w:tcPr>
          <w:p>
            <w:pPr>
              <w:spacing w:line="240" w:lineRule="exact"/>
              <w:ind w:right="-14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对工器具及备件进行检查，保证完好</w:t>
            </w:r>
          </w:p>
        </w:tc>
        <w:tc>
          <w:tcPr>
            <w:tcW w:w="1400" w:type="dxa"/>
          </w:tcPr>
          <w:p>
            <w:pPr>
              <w:pStyle w:val="2"/>
              <w:ind w:left="0" w:right="-153"/>
              <w:rPr>
                <w:rFonts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1.2</w:t>
            </w:r>
          </w:p>
        </w:tc>
        <w:tc>
          <w:tcPr>
            <w:tcW w:w="1468" w:type="dxa"/>
            <w:vAlign w:val="center"/>
          </w:tcPr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工作人员就位</w:t>
            </w:r>
          </w:p>
        </w:tc>
        <w:tc>
          <w:tcPr>
            <w:tcW w:w="2428" w:type="dxa"/>
            <w:vAlign w:val="center"/>
          </w:tcPr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明确作业内容、作业标准、危险点及防范措施</w:t>
            </w:r>
          </w:p>
        </w:tc>
        <w:tc>
          <w:tcPr>
            <w:tcW w:w="2355" w:type="dxa"/>
            <w:vAlign w:val="center"/>
          </w:tcPr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工作人员应分工明确，任务落实到人，安全措施明了。</w:t>
            </w:r>
          </w:p>
        </w:tc>
        <w:tc>
          <w:tcPr>
            <w:tcW w:w="1400" w:type="dxa"/>
          </w:tcPr>
          <w:p>
            <w:pPr>
              <w:pStyle w:val="2"/>
              <w:ind w:left="0" w:right="-153"/>
              <w:rPr>
                <w:rFonts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1.3</w:t>
            </w:r>
          </w:p>
        </w:tc>
        <w:tc>
          <w:tcPr>
            <w:tcW w:w="1468" w:type="dxa"/>
            <w:vAlign w:val="center"/>
          </w:tcPr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检查安全措施</w:t>
            </w:r>
          </w:p>
        </w:tc>
        <w:tc>
          <w:tcPr>
            <w:tcW w:w="2428" w:type="dxa"/>
            <w:vAlign w:val="center"/>
          </w:tcPr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检查现场符合工作条件。</w:t>
            </w:r>
          </w:p>
        </w:tc>
        <w:tc>
          <w:tcPr>
            <w:tcW w:w="2355" w:type="dxa"/>
            <w:vAlign w:val="center"/>
          </w:tcPr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注意保持与带电设备的安全距离。</w:t>
            </w:r>
          </w:p>
        </w:tc>
        <w:tc>
          <w:tcPr>
            <w:tcW w:w="1400" w:type="dxa"/>
          </w:tcPr>
          <w:p>
            <w:pPr>
              <w:pStyle w:val="2"/>
              <w:ind w:left="0" w:right="-153"/>
              <w:rPr>
                <w:rFonts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2</w:t>
            </w:r>
          </w:p>
        </w:tc>
        <w:tc>
          <w:tcPr>
            <w:tcW w:w="6251" w:type="dxa"/>
            <w:gridSpan w:val="3"/>
            <w:vAlign w:val="center"/>
          </w:tcPr>
          <w:p>
            <w:pPr>
              <w:pStyle w:val="2"/>
              <w:ind w:left="-2" w:right="17" w:rightChars="8" w:firstLine="0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系统主机除尘，电源、通讯适配器等附件维护</w:t>
            </w:r>
          </w:p>
        </w:tc>
        <w:tc>
          <w:tcPr>
            <w:tcW w:w="1400" w:type="dxa"/>
          </w:tcPr>
          <w:p>
            <w:pPr>
              <w:pStyle w:val="2"/>
              <w:ind w:left="0" w:right="-153"/>
              <w:rPr>
                <w:rFonts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2.1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ind w:left="-2" w:right="17" w:rightChars="8" w:firstLine="0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系统主机除尘，电源、通讯适配器等附件维护</w:t>
            </w:r>
          </w:p>
        </w:tc>
        <w:tc>
          <w:tcPr>
            <w:tcW w:w="2428" w:type="dxa"/>
            <w:vAlign w:val="center"/>
          </w:tcPr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2.2.1沿关掉电源，拔下外设连线；</w:t>
            </w:r>
          </w:p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拔下所有外设连线后，打开机箱盖；</w:t>
            </w:r>
          </w:p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拆下各类适配卡，拔下驱动器数据线、驱动器电源插头、主板电源插头以及其他插头；</w:t>
            </w:r>
          </w:p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擦拭机箱内、外表面，清洁各种插槽、附件；</w:t>
            </w:r>
          </w:p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重新正确组装主机系统；</w:t>
            </w:r>
          </w:p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2.2.2对显示器、电源、通讯适配器、鼠标和键盘表面的积尘进行彻底的清理；</w:t>
            </w:r>
          </w:p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连接所有外设连线，正确启动系统主机。</w:t>
            </w:r>
          </w:p>
        </w:tc>
        <w:tc>
          <w:tcPr>
            <w:tcW w:w="2355" w:type="dxa"/>
            <w:vAlign w:val="center"/>
          </w:tcPr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显示器、机箱外壳、通讯适配器、键盘以及鼠标表面的尘埃可以用柔软干净的棉布轻轻擦去。</w:t>
            </w:r>
          </w:p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显示器平面上沾有污垢，可将棉布沾少许屏幕清洁剂后擦拭。擦拭时，不可用力过猛，更不可用刀片、硬物擦、刮。</w:t>
            </w:r>
          </w:p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显示器的显现管表面有特殊涂层，严禁酒精、洗洁精等有机溶剂和含氨的溶剂擦洗；</w:t>
            </w:r>
          </w:p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清洗键盘按键时，用微湿的柔软棉布一行行擦拭，注意不要让水流进键盘中；</w:t>
            </w:r>
          </w:p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清除插槽、插头和插座的积尘时，一般先用小毛刷清洁，再用电吹风吹干净；</w:t>
            </w:r>
          </w:p>
          <w:p>
            <w:pPr>
              <w:spacing w:line="240" w:lineRule="exact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清除电源风扇和CPU散热风扇的积尘。将电源拆下后，用电吹风仔细将风扇积尘吹干净后装上。CPU散热风扇可用毛刷扫净。如果电路板和插槽之间的连接点有灰尘或者被氧化，可用橡皮擦擦除，切忌用砂纸类擦拭，否则会损伤镀层。</w:t>
            </w:r>
          </w:p>
        </w:tc>
        <w:tc>
          <w:tcPr>
            <w:tcW w:w="1400" w:type="dxa"/>
          </w:tcPr>
          <w:p>
            <w:pPr>
              <w:pStyle w:val="2"/>
              <w:ind w:left="0" w:right="-153"/>
              <w:rPr>
                <w:rFonts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Chars="0" w:right="-153" w:firstLine="0"/>
              <w:jc w:val="center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2.2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ind w:left="-2" w:right="17" w:rightChars="8" w:firstLine="0"/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后续工作</w:t>
            </w:r>
          </w:p>
        </w:tc>
        <w:tc>
          <w:tcPr>
            <w:tcW w:w="2428" w:type="dxa"/>
            <w:vAlign w:val="center"/>
          </w:tcPr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2.3.1</w:t>
            </w:r>
            <w:r>
              <w:rPr>
                <w:rFonts w:hint="eastAsia" w:ascii="方正仿宋_GBK" w:eastAsia="方正仿宋_GBK"/>
                <w:sz w:val="18"/>
              </w:rPr>
              <w:t>检查系统主机正确工作；</w:t>
            </w:r>
          </w:p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清理工作现场；</w:t>
            </w:r>
          </w:p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将工器具擦拭干净；</w:t>
            </w:r>
          </w:p>
          <w:p>
            <w:pPr>
              <w:rPr>
                <w:rFonts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2.3.2</w:t>
            </w:r>
            <w:r>
              <w:rPr>
                <w:rFonts w:hint="eastAsia" w:ascii="方正仿宋_GBK" w:eastAsia="方正仿宋_GBK"/>
                <w:sz w:val="18"/>
              </w:rPr>
              <w:t>做好相关记录。</w:t>
            </w:r>
          </w:p>
        </w:tc>
        <w:tc>
          <w:tcPr>
            <w:tcW w:w="2355" w:type="dxa"/>
            <w:vAlign w:val="center"/>
          </w:tcPr>
          <w:p>
            <w:pPr>
              <w:spacing w:line="240" w:lineRule="exact"/>
              <w:rPr>
                <w:rFonts w:ascii="方正仿宋_GBK" w:hAnsi="宋体" w:eastAsia="方正仿宋_GBK"/>
                <w:sz w:val="18"/>
              </w:rPr>
            </w:pPr>
          </w:p>
        </w:tc>
        <w:tc>
          <w:tcPr>
            <w:tcW w:w="1400" w:type="dxa"/>
          </w:tcPr>
          <w:p>
            <w:pPr>
              <w:pStyle w:val="2"/>
              <w:ind w:left="0" w:right="-153"/>
              <w:rPr>
                <w:rFonts w:ascii="方正仿宋_GBK" w:eastAsia="方正仿宋_GBK"/>
                <w:sz w:val="18"/>
              </w:rPr>
            </w:pPr>
          </w:p>
        </w:tc>
      </w:tr>
    </w:tbl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3</w:t>
      </w:r>
      <w:r>
        <w:rPr>
          <w:rFonts w:hint="eastAsia" w:ascii="黑体" w:hAnsi="黑体" w:eastAsia="黑体"/>
          <w:szCs w:val="21"/>
        </w:rPr>
        <w:t>.签名确认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652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253" w:type="dxa"/>
            <w:vAlign w:val="center"/>
          </w:tcPr>
          <w:p>
            <w:pPr>
              <w:rPr>
                <w:rFonts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工作人员签名</w:t>
            </w:r>
          </w:p>
        </w:tc>
        <w:tc>
          <w:tcPr>
            <w:tcW w:w="6525" w:type="dxa"/>
          </w:tcPr>
          <w:p>
            <w:pPr>
              <w:rPr>
                <w:rFonts w:ascii="方正仿宋_GBK" w:eastAsia="方正仿宋_GBK"/>
                <w:sz w:val="18"/>
                <w:szCs w:val="18"/>
              </w:rPr>
            </w:pPr>
          </w:p>
        </w:tc>
      </w:tr>
    </w:tbl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4</w:t>
      </w:r>
      <w:r>
        <w:rPr>
          <w:rFonts w:hint="eastAsia" w:ascii="黑体" w:hAnsi="黑体" w:eastAsia="黑体"/>
          <w:szCs w:val="21"/>
        </w:rPr>
        <w:t>.执行评价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  <w:jc w:val="center"/>
        </w:trPr>
        <w:tc>
          <w:tcPr>
            <w:tcW w:w="8774" w:type="dxa"/>
          </w:tcPr>
          <w:p>
            <w:pPr>
              <w:ind w:right="800"/>
              <w:jc w:val="right"/>
              <w:rPr>
                <w:rFonts w:ascii="方正仿宋_GBK" w:eastAsia="方正仿宋_GBK"/>
                <w:sz w:val="18"/>
                <w:szCs w:val="18"/>
              </w:rPr>
            </w:pPr>
          </w:p>
          <w:p>
            <w:pPr>
              <w:ind w:right="800"/>
              <w:jc w:val="right"/>
              <w:rPr>
                <w:rFonts w:ascii="方正仿宋_GBK" w:eastAsia="方正仿宋_GBK"/>
                <w:sz w:val="18"/>
                <w:szCs w:val="18"/>
              </w:rPr>
            </w:pPr>
          </w:p>
          <w:p>
            <w:pPr>
              <w:ind w:right="800"/>
              <w:jc w:val="right"/>
              <w:rPr>
                <w:rFonts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工作负责人签名：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B4"/>
    <w:rsid w:val="00047AB4"/>
    <w:rsid w:val="002D5623"/>
    <w:rsid w:val="0057662B"/>
    <w:rsid w:val="00D9057E"/>
    <w:rsid w:val="00DD2BF1"/>
    <w:rsid w:val="1C7B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napToGrid w:val="0"/>
      <w:spacing w:line="360" w:lineRule="auto"/>
      <w:ind w:left="-1" w:leftChars="-1" w:hanging="2"/>
    </w:pPr>
    <w:rPr>
      <w:kern w:val="21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811</Characters>
  <Lines>6</Lines>
  <Paragraphs>1</Paragraphs>
  <TotalTime>5</TotalTime>
  <ScaleCrop>false</ScaleCrop>
  <LinksUpToDate>false</LinksUpToDate>
  <CharactersWithSpaces>952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2020-09-04T12:05:00Z</dcterms:created>
  <dc:creator>赵怡臣</dc:creator>
  <cp:lastModifiedBy>Administrator</cp:lastModifiedBy>
  <dcterms:modified xsi:type="dcterms:W3CDTF">2020-11-01T05:55:32Z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