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BD0" w:rsidRDefault="00E72BD0" w:rsidP="00E72BD0">
      <w:pPr>
        <w:jc w:val="center"/>
        <w:rPr>
          <w:rFonts w:eastAsia="Arial Unicode MS" w:cstheme="minorHAnsi"/>
          <w:sz w:val="40"/>
          <w:szCs w:val="40"/>
        </w:rPr>
      </w:pPr>
      <w:r w:rsidRPr="00E72BD0">
        <w:rPr>
          <w:rFonts w:eastAsia="Arial Unicode MS" w:cstheme="minorHAnsi"/>
          <w:sz w:val="40"/>
          <w:szCs w:val="40"/>
        </w:rPr>
        <w:t>Training Schedule for PMLTC New-coming Employees</w:t>
      </w:r>
    </w:p>
    <w:p w:rsidR="00313D00" w:rsidRPr="00313D00" w:rsidRDefault="00313D00" w:rsidP="00313D00">
      <w:pPr>
        <w:jc w:val="center"/>
        <w:rPr>
          <w:rFonts w:eastAsia="Arial Unicode MS" w:cstheme="minorHAnsi"/>
          <w:sz w:val="26"/>
          <w:szCs w:val="26"/>
        </w:rPr>
      </w:pPr>
      <w:r w:rsidRPr="00313D00">
        <w:rPr>
          <w:rFonts w:eastAsia="Arial Unicode MS" w:cstheme="minorHAnsi"/>
          <w:sz w:val="26"/>
          <w:szCs w:val="26"/>
        </w:rPr>
        <w:t>（</w:t>
      </w:r>
      <w:r w:rsidRPr="00313D00">
        <w:rPr>
          <w:rFonts w:eastAsia="Arial Unicode MS" w:cstheme="minorHAnsi"/>
          <w:sz w:val="26"/>
          <w:szCs w:val="26"/>
        </w:rPr>
        <w:t>May 15</w:t>
      </w:r>
      <w:r w:rsidRPr="00313D00">
        <w:rPr>
          <w:rFonts w:eastAsia="Arial Unicode MS" w:cstheme="minorHAnsi"/>
          <w:sz w:val="26"/>
          <w:szCs w:val="26"/>
          <w:vertAlign w:val="superscript"/>
        </w:rPr>
        <w:t>th</w:t>
      </w:r>
      <w:r w:rsidRPr="00313D00">
        <w:rPr>
          <w:rFonts w:eastAsia="Arial Unicode MS" w:cstheme="minorHAnsi"/>
          <w:sz w:val="26"/>
          <w:szCs w:val="26"/>
        </w:rPr>
        <w:t>, 2020</w:t>
      </w:r>
      <w:r w:rsidRPr="00313D00">
        <w:rPr>
          <w:rFonts w:eastAsia="Arial Unicode MS" w:cstheme="minorHAnsi"/>
          <w:sz w:val="26"/>
          <w:szCs w:val="26"/>
        </w:rPr>
        <w:t>）</w:t>
      </w:r>
      <w:r w:rsidRPr="00313D00">
        <w:rPr>
          <w:rFonts w:eastAsia="Arial Unicode MS" w:cstheme="minorHAnsi" w:hint="eastAsia"/>
          <w:sz w:val="26"/>
          <w:szCs w:val="26"/>
        </w:rPr>
        <w:t xml:space="preserve">                       </w:t>
      </w:r>
      <w:bookmarkStart w:id="0" w:name="_GoBack"/>
      <w:bookmarkEnd w:id="0"/>
    </w:p>
    <w:tbl>
      <w:tblPr>
        <w:tblStyle w:val="TableGrid"/>
        <w:tblpPr w:leftFromText="180" w:rightFromText="180" w:vertAnchor="page" w:horzAnchor="page" w:tblpX="9751" w:tblpY="3231"/>
        <w:tblW w:w="0" w:type="auto"/>
        <w:tblLook w:val="04A0" w:firstRow="1" w:lastRow="0" w:firstColumn="1" w:lastColumn="0" w:noHBand="0" w:noVBand="1"/>
      </w:tblPr>
      <w:tblGrid>
        <w:gridCol w:w="1136"/>
        <w:gridCol w:w="419"/>
      </w:tblGrid>
      <w:tr w:rsidR="00BF628F" w:rsidTr="00313D00">
        <w:tc>
          <w:tcPr>
            <w:tcW w:w="1555" w:type="dxa"/>
            <w:gridSpan w:val="2"/>
          </w:tcPr>
          <w:p w:rsidR="00BF628F" w:rsidRPr="00BF628F" w:rsidRDefault="00BF628F" w:rsidP="00313D00">
            <w:pPr>
              <w:jc w:val="center"/>
              <w:rPr>
                <w:rFonts w:eastAsia="Arial Unicode MS" w:cstheme="minorHAnsi"/>
                <w:b/>
                <w:sz w:val="20"/>
                <w:szCs w:val="20"/>
              </w:rPr>
            </w:pPr>
            <w:r w:rsidRPr="00BF628F">
              <w:rPr>
                <w:rFonts w:eastAsia="Arial Unicode MS" w:cstheme="minorHAnsi"/>
                <w:b/>
                <w:sz w:val="20"/>
                <w:szCs w:val="20"/>
              </w:rPr>
              <w:t>Key</w:t>
            </w:r>
          </w:p>
        </w:tc>
      </w:tr>
      <w:tr w:rsidR="00BF628F" w:rsidTr="00313D00">
        <w:tc>
          <w:tcPr>
            <w:tcW w:w="1136" w:type="dxa"/>
          </w:tcPr>
          <w:p w:rsidR="00BF628F" w:rsidRPr="00BF628F" w:rsidRDefault="00BF628F" w:rsidP="00313D00">
            <w:pPr>
              <w:jc w:val="center"/>
              <w:rPr>
                <w:rFonts w:eastAsia="Arial Unicode MS" w:cstheme="minorHAnsi"/>
                <w:b/>
                <w:sz w:val="20"/>
                <w:szCs w:val="20"/>
              </w:rPr>
            </w:pPr>
            <w:r w:rsidRPr="00BF628F">
              <w:rPr>
                <w:rFonts w:eastAsia="Arial Unicode MS" w:cstheme="minorHAnsi"/>
                <w:b/>
                <w:sz w:val="20"/>
                <w:szCs w:val="20"/>
              </w:rPr>
              <w:t>Completed</w:t>
            </w:r>
          </w:p>
        </w:tc>
        <w:tc>
          <w:tcPr>
            <w:tcW w:w="419" w:type="dxa"/>
            <w:shd w:val="clear" w:color="auto" w:fill="FFE599" w:themeFill="accent4" w:themeFillTint="66"/>
          </w:tcPr>
          <w:p w:rsidR="00BF628F" w:rsidRPr="00BF628F" w:rsidRDefault="00BF628F" w:rsidP="00313D00">
            <w:pPr>
              <w:jc w:val="center"/>
              <w:rPr>
                <w:rFonts w:eastAsia="Arial Unicode MS" w:cstheme="minorHAnsi"/>
                <w:sz w:val="20"/>
                <w:szCs w:val="20"/>
              </w:rPr>
            </w:pPr>
          </w:p>
        </w:tc>
      </w:tr>
      <w:tr w:rsidR="00BF628F" w:rsidTr="00313D00">
        <w:tc>
          <w:tcPr>
            <w:tcW w:w="1136" w:type="dxa"/>
          </w:tcPr>
          <w:p w:rsidR="00BF628F" w:rsidRPr="00BF628F" w:rsidRDefault="00BF628F" w:rsidP="00313D00">
            <w:pPr>
              <w:jc w:val="center"/>
              <w:rPr>
                <w:rFonts w:eastAsia="Arial Unicode MS" w:cstheme="minorHAnsi"/>
                <w:b/>
                <w:sz w:val="20"/>
                <w:szCs w:val="20"/>
              </w:rPr>
            </w:pPr>
            <w:r w:rsidRPr="00BF628F">
              <w:rPr>
                <w:rFonts w:eastAsia="Arial Unicode MS" w:cstheme="minorHAnsi"/>
                <w:b/>
                <w:sz w:val="20"/>
                <w:szCs w:val="20"/>
              </w:rPr>
              <w:t>Scheduled</w:t>
            </w:r>
          </w:p>
        </w:tc>
        <w:tc>
          <w:tcPr>
            <w:tcW w:w="419" w:type="dxa"/>
            <w:shd w:val="clear" w:color="auto" w:fill="E2EFD9" w:themeFill="accent6" w:themeFillTint="33"/>
          </w:tcPr>
          <w:p w:rsidR="00BF628F" w:rsidRPr="00BF628F" w:rsidRDefault="00BF628F" w:rsidP="00313D00">
            <w:pPr>
              <w:jc w:val="center"/>
              <w:rPr>
                <w:rFonts w:eastAsia="Arial Unicode MS" w:cstheme="minorHAnsi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445"/>
        <w:tblW w:w="10348" w:type="dxa"/>
        <w:tblLook w:val="04A0" w:firstRow="1" w:lastRow="0" w:firstColumn="1" w:lastColumn="0" w:noHBand="0" w:noVBand="1"/>
      </w:tblPr>
      <w:tblGrid>
        <w:gridCol w:w="1844"/>
        <w:gridCol w:w="2032"/>
        <w:gridCol w:w="1792"/>
        <w:gridCol w:w="2577"/>
        <w:gridCol w:w="1395"/>
        <w:gridCol w:w="708"/>
      </w:tblGrid>
      <w:tr w:rsidR="00313D00" w:rsidRPr="00E72BD0" w:rsidTr="00313D00">
        <w:trPr>
          <w:trHeight w:val="313"/>
        </w:trPr>
        <w:tc>
          <w:tcPr>
            <w:tcW w:w="1844" w:type="dxa"/>
            <w:shd w:val="clear" w:color="auto" w:fill="9CC2E5" w:themeFill="accent1" w:themeFillTint="99"/>
          </w:tcPr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Schedule</w:t>
            </w:r>
          </w:p>
        </w:tc>
        <w:tc>
          <w:tcPr>
            <w:tcW w:w="2032" w:type="dxa"/>
            <w:shd w:val="clear" w:color="auto" w:fill="9CC2E5" w:themeFill="accent1" w:themeFillTint="99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72BD0">
              <w:rPr>
                <w:rFonts w:cstheme="minorHAnsi"/>
                <w:b/>
                <w:sz w:val="20"/>
                <w:szCs w:val="20"/>
              </w:rPr>
              <w:t>Category</w:t>
            </w:r>
          </w:p>
        </w:tc>
        <w:tc>
          <w:tcPr>
            <w:tcW w:w="1792" w:type="dxa"/>
            <w:shd w:val="clear" w:color="auto" w:fill="9CC2E5" w:themeFill="accent1" w:themeFillTint="99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72BD0">
              <w:rPr>
                <w:rFonts w:cstheme="minorHAnsi"/>
                <w:b/>
                <w:sz w:val="20"/>
                <w:szCs w:val="20"/>
              </w:rPr>
              <w:t>Topics</w:t>
            </w:r>
          </w:p>
        </w:tc>
        <w:tc>
          <w:tcPr>
            <w:tcW w:w="2577" w:type="dxa"/>
            <w:shd w:val="clear" w:color="auto" w:fill="9CC2E5" w:themeFill="accent1" w:themeFillTint="99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72BD0">
              <w:rPr>
                <w:rFonts w:cstheme="minorHAnsi"/>
                <w:b/>
                <w:sz w:val="20"/>
                <w:szCs w:val="20"/>
              </w:rPr>
              <w:t>Contents</w:t>
            </w:r>
          </w:p>
        </w:tc>
        <w:tc>
          <w:tcPr>
            <w:tcW w:w="1395" w:type="dxa"/>
            <w:shd w:val="clear" w:color="auto" w:fill="9CC2E5" w:themeFill="accent1" w:themeFillTint="99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72BD0">
              <w:rPr>
                <w:rFonts w:cstheme="minorHAnsi"/>
                <w:b/>
                <w:sz w:val="20"/>
                <w:szCs w:val="20"/>
              </w:rPr>
              <w:t>Training type</w:t>
            </w:r>
          </w:p>
        </w:tc>
        <w:tc>
          <w:tcPr>
            <w:tcW w:w="708" w:type="dxa"/>
            <w:shd w:val="clear" w:color="auto" w:fill="9CC2E5" w:themeFill="accent1" w:themeFillTint="99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:rsidR="00313D00" w:rsidRPr="00E72BD0" w:rsidRDefault="00313D00" w:rsidP="00313D0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72BD0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</w:tr>
      <w:tr w:rsidR="00313D00" w:rsidRPr="00E72BD0" w:rsidTr="00313D00">
        <w:tc>
          <w:tcPr>
            <w:tcW w:w="1844" w:type="dxa"/>
            <w:shd w:val="clear" w:color="auto" w:fill="FFE599" w:themeFill="accent4" w:themeFillTint="66"/>
          </w:tcPr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15th May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32" w:type="dxa"/>
            <w:shd w:val="clear" w:color="auto" w:fill="FFE599" w:themeFill="accent4" w:themeFillTint="66"/>
          </w:tcPr>
          <w:p w:rsidR="00313D00" w:rsidRPr="00E72BD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直流</w:t>
            </w:r>
            <w:r w:rsidRPr="00E72BD0">
              <w:rPr>
                <w:rFonts w:eastAsia="SimSun" w:cstheme="minorHAnsi"/>
                <w:sz w:val="20"/>
                <w:szCs w:val="20"/>
              </w:rPr>
              <w:t>输电系统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Fundamentals of high-voltage direct-current (HVDC) transmission</w:t>
            </w:r>
          </w:p>
        </w:tc>
        <w:tc>
          <w:tcPr>
            <w:tcW w:w="1792" w:type="dxa"/>
            <w:shd w:val="clear" w:color="auto" w:fill="FFE599" w:themeFill="accent4" w:themeFillTint="66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 xml:space="preserve">1.1  Opening Ceremony </w:t>
            </w:r>
          </w:p>
        </w:tc>
        <w:tc>
          <w:tcPr>
            <w:tcW w:w="2577" w:type="dxa"/>
            <w:shd w:val="clear" w:color="auto" w:fill="FFE599" w:themeFill="accent4" w:themeFillTint="66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1) Overview and arrangement of the training.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2)Profile of State Grid Corporation of China (</w:t>
            </w:r>
            <w:proofErr w:type="spellStart"/>
            <w:r w:rsidRPr="00E72BD0">
              <w:rPr>
                <w:rFonts w:cstheme="minorHAnsi"/>
                <w:sz w:val="20"/>
                <w:szCs w:val="20"/>
              </w:rPr>
              <w:t>sgcc</w:t>
            </w:r>
            <w:proofErr w:type="spellEnd"/>
            <w:r w:rsidRPr="00E72BD0">
              <w:rPr>
                <w:rFonts w:cstheme="minorHAnsi"/>
                <w:sz w:val="20"/>
                <w:szCs w:val="20"/>
              </w:rPr>
              <w:t xml:space="preserve">)&amp;China electric Power &amp; Equipment and Technology </w:t>
            </w:r>
            <w:proofErr w:type="spellStart"/>
            <w:r w:rsidRPr="00E72BD0">
              <w:rPr>
                <w:rFonts w:cstheme="minorHAnsi"/>
                <w:sz w:val="20"/>
                <w:szCs w:val="20"/>
              </w:rPr>
              <w:t>Co.LRD</w:t>
            </w:r>
            <w:proofErr w:type="spellEnd"/>
            <w:r w:rsidRPr="00E72BD0">
              <w:rPr>
                <w:rFonts w:cstheme="minorHAnsi"/>
                <w:sz w:val="20"/>
                <w:szCs w:val="20"/>
              </w:rPr>
              <w:t>(CET)</w:t>
            </w:r>
            <w:r w:rsidRPr="00E72BD0">
              <w:rPr>
                <w:rFonts w:eastAsia="MS Gothic" w:cstheme="minorHAnsi"/>
                <w:sz w:val="20"/>
                <w:szCs w:val="20"/>
              </w:rPr>
              <w:t>，</w:t>
            </w:r>
            <w:r w:rsidRPr="00E72BD0">
              <w:rPr>
                <w:rFonts w:cstheme="minorHAnsi"/>
                <w:sz w:val="20"/>
                <w:szCs w:val="20"/>
              </w:rPr>
              <w:t xml:space="preserve">Brief on </w:t>
            </w:r>
            <w:proofErr w:type="spellStart"/>
            <w:r w:rsidRPr="00E72BD0">
              <w:rPr>
                <w:rFonts w:cstheme="minorHAnsi"/>
                <w:sz w:val="20"/>
                <w:szCs w:val="20"/>
              </w:rPr>
              <w:t>Matiari</w:t>
            </w:r>
            <w:proofErr w:type="spellEnd"/>
            <w:r w:rsidRPr="00E72BD0">
              <w:rPr>
                <w:rFonts w:cstheme="minorHAnsi"/>
                <w:sz w:val="20"/>
                <w:szCs w:val="20"/>
              </w:rPr>
              <w:t xml:space="preserve"> Lahore Transmission Project</w:t>
            </w:r>
          </w:p>
        </w:tc>
        <w:tc>
          <w:tcPr>
            <w:tcW w:w="1395" w:type="dxa"/>
            <w:shd w:val="clear" w:color="auto" w:fill="FFE599" w:themeFill="accent4" w:themeFillTint="66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专家讲授</w:t>
            </w:r>
          </w:p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Expert lecturing</w:t>
            </w:r>
          </w:p>
        </w:tc>
        <w:tc>
          <w:tcPr>
            <w:tcW w:w="708" w:type="dxa"/>
            <w:shd w:val="clear" w:color="auto" w:fill="FFE599" w:themeFill="accent4" w:themeFillTint="66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313D00" w:rsidRPr="00E72BD0" w:rsidTr="00313D00">
        <w:trPr>
          <w:trHeight w:val="50"/>
        </w:trPr>
        <w:tc>
          <w:tcPr>
            <w:tcW w:w="1844" w:type="dxa"/>
            <w:shd w:val="clear" w:color="auto" w:fill="E2EFD9" w:themeFill="accent6" w:themeFillTint="33"/>
          </w:tcPr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18th May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32" w:type="dxa"/>
            <w:vMerge w:val="restart"/>
            <w:shd w:val="clear" w:color="auto" w:fill="E2EFD9" w:themeFill="accent6" w:themeFillTint="33"/>
          </w:tcPr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Default="00313D00" w:rsidP="00313D00">
            <w:pPr>
              <w:rPr>
                <w:rFonts w:eastAsia="DengXia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直流</w:t>
            </w:r>
            <w:r w:rsidRPr="00E72BD0">
              <w:rPr>
                <w:rFonts w:eastAsia="SimSun" w:cstheme="minorHAnsi"/>
                <w:sz w:val="20"/>
                <w:szCs w:val="20"/>
              </w:rPr>
              <w:t>输电系统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Fundamentals of high-voltage direct-current (HVDC) transmission</w:t>
            </w:r>
          </w:p>
        </w:tc>
        <w:tc>
          <w:tcPr>
            <w:tcW w:w="1792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1.2 General concept, feature and application</w:t>
            </w:r>
          </w:p>
        </w:tc>
        <w:tc>
          <w:tcPr>
            <w:tcW w:w="2577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直流</w:t>
            </w:r>
            <w:r w:rsidRPr="00E72BD0">
              <w:rPr>
                <w:rFonts w:eastAsia="SimSun" w:cstheme="minorHAnsi"/>
                <w:sz w:val="20"/>
                <w:szCs w:val="20"/>
              </w:rPr>
              <w:t>输电的概念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Concept of HVDC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直流</w:t>
            </w:r>
            <w:r w:rsidRPr="00E72BD0">
              <w:rPr>
                <w:rFonts w:eastAsia="SimSun" w:cstheme="minorHAnsi"/>
                <w:sz w:val="20"/>
                <w:szCs w:val="20"/>
              </w:rPr>
              <w:t>输电技术应用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Application of HVDC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新型直流</w:t>
            </w:r>
            <w:r w:rsidRPr="00E72BD0">
              <w:rPr>
                <w:rFonts w:eastAsia="SimSun" w:cstheme="minorHAnsi"/>
                <w:sz w:val="20"/>
                <w:szCs w:val="20"/>
              </w:rPr>
              <w:t>输电技术特点及其应用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New technologies of HVDC and their application</w:t>
            </w:r>
          </w:p>
        </w:tc>
        <w:tc>
          <w:tcPr>
            <w:tcW w:w="1395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专家讲授</w:t>
            </w:r>
          </w:p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Expert lecturing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6-9</w:t>
            </w:r>
          </w:p>
        </w:tc>
      </w:tr>
      <w:tr w:rsidR="00313D00" w:rsidRPr="00E72BD0" w:rsidTr="00313D00">
        <w:tc>
          <w:tcPr>
            <w:tcW w:w="1844" w:type="dxa"/>
            <w:shd w:val="clear" w:color="auto" w:fill="E2EFD9" w:themeFill="accent6" w:themeFillTint="33"/>
          </w:tcPr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19th May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32" w:type="dxa"/>
            <w:vMerge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92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1.3</w:t>
            </w:r>
            <w:r w:rsidRPr="00E72BD0">
              <w:rPr>
                <w:rFonts w:eastAsia="MS Gothic" w:cstheme="minorHAnsi"/>
                <w:sz w:val="20"/>
                <w:szCs w:val="20"/>
              </w:rPr>
              <w:t>特高</w:t>
            </w:r>
            <w:r w:rsidRPr="00E72BD0">
              <w:rPr>
                <w:rFonts w:eastAsia="SimSun" w:cstheme="minorHAnsi"/>
                <w:sz w:val="20"/>
                <w:szCs w:val="20"/>
              </w:rPr>
              <w:t>压直流输电基本原理介绍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Power conversion theory</w:t>
            </w:r>
          </w:p>
        </w:tc>
        <w:tc>
          <w:tcPr>
            <w:tcW w:w="2577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换流原理</w:t>
            </w:r>
            <w:r w:rsidRPr="00E72BD0">
              <w:rPr>
                <w:rFonts w:cstheme="minorHAnsi"/>
                <w:sz w:val="20"/>
                <w:szCs w:val="20"/>
              </w:rPr>
              <w:t>(</w:t>
            </w:r>
            <w:r w:rsidRPr="00E72BD0">
              <w:rPr>
                <w:rFonts w:eastAsia="MS Gothic" w:cstheme="minorHAnsi"/>
                <w:sz w:val="20"/>
                <w:szCs w:val="20"/>
              </w:rPr>
              <w:t>六脉</w:t>
            </w:r>
            <w:r w:rsidRPr="00E72BD0">
              <w:rPr>
                <w:rFonts w:eastAsia="SimSun" w:cstheme="minorHAnsi"/>
                <w:sz w:val="20"/>
                <w:szCs w:val="20"/>
              </w:rPr>
              <w:t>动换流原理</w:t>
            </w:r>
            <w:r w:rsidRPr="00E72BD0">
              <w:rPr>
                <w:rFonts w:cstheme="minorHAnsi"/>
                <w:sz w:val="20"/>
                <w:szCs w:val="20"/>
              </w:rPr>
              <w:t xml:space="preserve">) 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Rectifying and inverting of six-pulse converter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电压控制与功率控制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 xml:space="preserve">Control of voltage and power </w:t>
            </w:r>
          </w:p>
        </w:tc>
        <w:tc>
          <w:tcPr>
            <w:tcW w:w="1395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专家讲授</w:t>
            </w:r>
          </w:p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Expert lecturing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4-6</w:t>
            </w:r>
          </w:p>
        </w:tc>
      </w:tr>
      <w:tr w:rsidR="00313D00" w:rsidRPr="00E72BD0" w:rsidTr="00313D00">
        <w:tc>
          <w:tcPr>
            <w:tcW w:w="1844" w:type="dxa"/>
            <w:shd w:val="clear" w:color="auto" w:fill="E2EFD9" w:themeFill="accent6" w:themeFillTint="33"/>
          </w:tcPr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20th May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9:00AM-12:00AM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BREAK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2:00PM-5:00PM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…….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21</w:t>
            </w:r>
            <w:r>
              <w:rPr>
                <w:rFonts w:cstheme="minorHAnsi"/>
                <w:b/>
                <w:sz w:val="20"/>
                <w:szCs w:val="20"/>
              </w:rPr>
              <w:t>st</w:t>
            </w:r>
            <w:r w:rsidRPr="00D321B4">
              <w:rPr>
                <w:rFonts w:cstheme="minorHAnsi"/>
                <w:b/>
                <w:sz w:val="20"/>
                <w:szCs w:val="20"/>
              </w:rPr>
              <w:t xml:space="preserve"> May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</w:tc>
        <w:tc>
          <w:tcPr>
            <w:tcW w:w="2032" w:type="dxa"/>
            <w:vMerge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92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1.4</w:t>
            </w:r>
            <w:r w:rsidRPr="00E72BD0">
              <w:rPr>
                <w:rFonts w:eastAsia="MS Gothic" w:cstheme="minorHAnsi"/>
                <w:sz w:val="20"/>
                <w:szCs w:val="20"/>
              </w:rPr>
              <w:t>直流</w:t>
            </w:r>
            <w:r w:rsidRPr="00E72BD0">
              <w:rPr>
                <w:rFonts w:eastAsia="SimSun" w:cstheme="minorHAnsi"/>
                <w:sz w:val="20"/>
                <w:szCs w:val="20"/>
              </w:rPr>
              <w:t>设备与系统运行方式介绍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Main circuit, equipment, and operation</w:t>
            </w:r>
          </w:p>
        </w:tc>
        <w:tc>
          <w:tcPr>
            <w:tcW w:w="2577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默拉直流</w:t>
            </w:r>
            <w:r w:rsidRPr="00E72BD0">
              <w:rPr>
                <w:rFonts w:eastAsia="SimSun" w:cstheme="minorHAnsi"/>
                <w:sz w:val="20"/>
                <w:szCs w:val="20"/>
              </w:rPr>
              <w:t>换流站主接线、换流站设备分区与布局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Main circuit, single line diagram, converter station layout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默拉直流</w:t>
            </w:r>
            <w:r w:rsidRPr="00E72BD0">
              <w:rPr>
                <w:rFonts w:eastAsia="SimSun" w:cstheme="minorHAnsi"/>
                <w:sz w:val="20"/>
                <w:szCs w:val="20"/>
              </w:rPr>
              <w:t>换流站设备配置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Equipment configuration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直流</w:t>
            </w:r>
            <w:r w:rsidRPr="00E72BD0">
              <w:rPr>
                <w:rFonts w:eastAsia="SimSun" w:cstheme="minorHAnsi"/>
                <w:sz w:val="20"/>
                <w:szCs w:val="20"/>
              </w:rPr>
              <w:t>输电系统运行方式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Operation modes</w:t>
            </w:r>
          </w:p>
        </w:tc>
        <w:tc>
          <w:tcPr>
            <w:tcW w:w="1395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专家讲授</w:t>
            </w:r>
          </w:p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Expert lecturing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6-9</w:t>
            </w:r>
          </w:p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313D00" w:rsidRPr="00E72BD0" w:rsidTr="00313D00">
        <w:tc>
          <w:tcPr>
            <w:tcW w:w="1844" w:type="dxa"/>
            <w:shd w:val="clear" w:color="auto" w:fill="E2EFD9" w:themeFill="accent6" w:themeFillTint="33"/>
          </w:tcPr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22</w:t>
            </w:r>
            <w:r>
              <w:rPr>
                <w:rFonts w:cstheme="minorHAnsi"/>
                <w:b/>
                <w:sz w:val="20"/>
                <w:szCs w:val="20"/>
              </w:rPr>
              <w:t>nd</w:t>
            </w:r>
            <w:r w:rsidRPr="00D321B4">
              <w:rPr>
                <w:rFonts w:cstheme="minorHAnsi"/>
                <w:b/>
                <w:sz w:val="20"/>
                <w:szCs w:val="20"/>
              </w:rPr>
              <w:t xml:space="preserve"> May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lastRenderedPageBreak/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28th May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……..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29th May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32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换流站一次设备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Main circuit equipment of HVDC converter station</w:t>
            </w:r>
          </w:p>
        </w:tc>
        <w:tc>
          <w:tcPr>
            <w:tcW w:w="1792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2.1</w:t>
            </w:r>
            <w:r w:rsidRPr="00E72BD0">
              <w:rPr>
                <w:rFonts w:eastAsia="SimSun" w:cstheme="minorHAnsi"/>
                <w:sz w:val="20"/>
                <w:szCs w:val="20"/>
              </w:rPr>
              <w:t>换流站一次设备及辅助设备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Main circuit equipment and auxiliary system</w:t>
            </w:r>
          </w:p>
        </w:tc>
        <w:tc>
          <w:tcPr>
            <w:tcW w:w="2577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lastRenderedPageBreak/>
              <w:t>换流阀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proofErr w:type="spellStart"/>
            <w:r w:rsidRPr="00E72BD0">
              <w:rPr>
                <w:rFonts w:cstheme="minorHAnsi"/>
                <w:sz w:val="20"/>
                <w:szCs w:val="20"/>
              </w:rPr>
              <w:lastRenderedPageBreak/>
              <w:t>Thyristor</w:t>
            </w:r>
            <w:proofErr w:type="spellEnd"/>
            <w:r w:rsidRPr="00E72BD0">
              <w:rPr>
                <w:rFonts w:cstheme="minorHAnsi"/>
                <w:sz w:val="20"/>
                <w:szCs w:val="20"/>
              </w:rPr>
              <w:t xml:space="preserve"> valve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换流站阀水冷系统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 xml:space="preserve">Cooling system of </w:t>
            </w:r>
            <w:proofErr w:type="spellStart"/>
            <w:r w:rsidRPr="00E72BD0">
              <w:rPr>
                <w:rFonts w:cstheme="minorHAnsi"/>
                <w:sz w:val="20"/>
                <w:szCs w:val="20"/>
              </w:rPr>
              <w:t>thyristor</w:t>
            </w:r>
            <w:proofErr w:type="spellEnd"/>
            <w:r w:rsidRPr="00E72BD0">
              <w:rPr>
                <w:rFonts w:cstheme="minorHAnsi"/>
                <w:sz w:val="20"/>
                <w:szCs w:val="20"/>
              </w:rPr>
              <w:t xml:space="preserve"> valves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换流变压器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Converter transformer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直流</w:t>
            </w:r>
            <w:r w:rsidRPr="00E72BD0">
              <w:rPr>
                <w:rFonts w:eastAsia="SimSun" w:cstheme="minorHAnsi"/>
                <w:sz w:val="20"/>
                <w:szCs w:val="20"/>
              </w:rPr>
              <w:t>场设备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DC yard equipment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交直流</w:t>
            </w:r>
            <w:r w:rsidRPr="00E72BD0">
              <w:rPr>
                <w:rFonts w:eastAsia="SimSun" w:cstheme="minorHAnsi"/>
                <w:sz w:val="20"/>
                <w:szCs w:val="20"/>
              </w:rPr>
              <w:t>测量装置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DC/AC measurement equipment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站用</w:t>
            </w:r>
            <w:r w:rsidRPr="00E72BD0">
              <w:rPr>
                <w:rFonts w:eastAsia="SimSun" w:cstheme="minorHAnsi"/>
                <w:sz w:val="20"/>
                <w:szCs w:val="20"/>
              </w:rPr>
              <w:t>电系统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Auxiliary service system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阀厅空调系统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Valve hall air conditioning system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消防系</w:t>
            </w:r>
            <w:r w:rsidRPr="00E72BD0">
              <w:rPr>
                <w:rFonts w:eastAsia="SimSun" w:cstheme="minorHAnsi"/>
                <w:sz w:val="20"/>
                <w:szCs w:val="20"/>
              </w:rPr>
              <w:t>统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Fire detection and extinguish system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给排水系统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Water drainage system</w:t>
            </w:r>
          </w:p>
        </w:tc>
        <w:tc>
          <w:tcPr>
            <w:tcW w:w="1395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lastRenderedPageBreak/>
              <w:t>专家讲授</w:t>
            </w:r>
          </w:p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lastRenderedPageBreak/>
              <w:t>Expert lecturing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lastRenderedPageBreak/>
              <w:t>27</w:t>
            </w:r>
          </w:p>
        </w:tc>
      </w:tr>
      <w:tr w:rsidR="00313D00" w:rsidRPr="00E72BD0" w:rsidTr="00313D00">
        <w:tc>
          <w:tcPr>
            <w:tcW w:w="1844" w:type="dxa"/>
            <w:shd w:val="clear" w:color="auto" w:fill="E2EFD9" w:themeFill="accent6" w:themeFillTint="33"/>
          </w:tcPr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1st June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……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2</w:t>
            </w:r>
            <w:r w:rsidRPr="00D321B4">
              <w:rPr>
                <w:rFonts w:cstheme="minorHAnsi"/>
                <w:b/>
                <w:sz w:val="20"/>
                <w:szCs w:val="20"/>
                <w:vertAlign w:val="superscript"/>
              </w:rPr>
              <w:t>nd</w:t>
            </w:r>
            <w:r w:rsidRPr="00D321B4">
              <w:rPr>
                <w:rFonts w:cstheme="minorHAnsi"/>
                <w:b/>
                <w:sz w:val="20"/>
                <w:szCs w:val="20"/>
              </w:rPr>
              <w:t xml:space="preserve"> June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…….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3</w:t>
            </w:r>
            <w:r w:rsidRPr="00D321B4">
              <w:rPr>
                <w:rFonts w:cstheme="minorHAnsi"/>
                <w:b/>
                <w:sz w:val="20"/>
                <w:szCs w:val="20"/>
                <w:vertAlign w:val="superscript"/>
              </w:rPr>
              <w:t>rd</w:t>
            </w:r>
            <w:r w:rsidRPr="00D321B4">
              <w:rPr>
                <w:rFonts w:cstheme="minorHAnsi"/>
                <w:b/>
                <w:sz w:val="20"/>
                <w:szCs w:val="20"/>
              </w:rPr>
              <w:t xml:space="preserve"> Jun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……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D321B4" w:rsidRDefault="00313D00" w:rsidP="00313D00">
            <w:pPr>
              <w:rPr>
                <w:rFonts w:cstheme="minorHAnsi"/>
                <w:b/>
                <w:sz w:val="20"/>
                <w:szCs w:val="20"/>
              </w:rPr>
            </w:pPr>
            <w:r w:rsidRPr="00D321B4">
              <w:rPr>
                <w:rFonts w:cstheme="minorHAnsi"/>
                <w:b/>
                <w:sz w:val="20"/>
                <w:szCs w:val="20"/>
              </w:rPr>
              <w:t>4</w:t>
            </w:r>
            <w:r w:rsidRPr="00D321B4">
              <w:rPr>
                <w:rFonts w:cstheme="minorHAnsi"/>
                <w:b/>
                <w:sz w:val="20"/>
                <w:szCs w:val="20"/>
                <w:vertAlign w:val="superscript"/>
              </w:rPr>
              <w:t xml:space="preserve">th </w:t>
            </w:r>
            <w:r w:rsidRPr="00D321B4">
              <w:rPr>
                <w:rFonts w:cstheme="minorHAnsi"/>
                <w:b/>
                <w:sz w:val="20"/>
                <w:szCs w:val="20"/>
              </w:rPr>
              <w:t>Jun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9:00AM-12:00PM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BREAK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2:00PM-5:30PM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32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eastAsia="SimSun"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换流站二次设备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Secondary equipment of HVDC converter station</w:t>
            </w:r>
          </w:p>
        </w:tc>
        <w:tc>
          <w:tcPr>
            <w:tcW w:w="1792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2.2</w:t>
            </w:r>
            <w:r w:rsidRPr="00E72BD0">
              <w:rPr>
                <w:rFonts w:eastAsia="SimSun" w:cstheme="minorHAnsi"/>
                <w:sz w:val="20"/>
                <w:szCs w:val="20"/>
              </w:rPr>
              <w:t>换流站二次设备介绍</w:t>
            </w:r>
          </w:p>
          <w:p w:rsidR="00313D00" w:rsidRPr="00E72BD0" w:rsidRDefault="00313D00" w:rsidP="00313D00">
            <w:pPr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Secondary equipment</w:t>
            </w:r>
          </w:p>
        </w:tc>
        <w:tc>
          <w:tcPr>
            <w:tcW w:w="2577" w:type="dxa"/>
            <w:shd w:val="clear" w:color="auto" w:fill="E2EFD9" w:themeFill="accent6" w:themeFillTint="33"/>
          </w:tcPr>
          <w:p w:rsidR="00313D00" w:rsidRPr="00E72BD0" w:rsidRDefault="00313D00" w:rsidP="00313D00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直流控制与保</w:t>
            </w:r>
            <w:r w:rsidRPr="00E72BD0">
              <w:rPr>
                <w:rFonts w:eastAsia="SimSun" w:cstheme="minorHAnsi"/>
                <w:sz w:val="20"/>
                <w:szCs w:val="20"/>
              </w:rPr>
              <w:t>护基本原理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Basic theory of HVDC protection and control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HCM3000</w:t>
            </w:r>
            <w:r w:rsidRPr="00E72BD0">
              <w:rPr>
                <w:rFonts w:eastAsia="MS Gothic" w:cstheme="minorHAnsi"/>
                <w:sz w:val="20"/>
                <w:szCs w:val="20"/>
              </w:rPr>
              <w:t>直流控制与保</w:t>
            </w:r>
            <w:r w:rsidRPr="00E72BD0">
              <w:rPr>
                <w:rFonts w:eastAsia="SimSun" w:cstheme="minorHAnsi"/>
                <w:sz w:val="20"/>
                <w:szCs w:val="20"/>
              </w:rPr>
              <w:t>护装置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HVDC control and protection system – HCM3000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SCADA</w:t>
            </w:r>
            <w:r w:rsidRPr="00E72BD0">
              <w:rPr>
                <w:rFonts w:eastAsia="MS Gothic" w:cstheme="minorHAnsi"/>
                <w:sz w:val="20"/>
                <w:szCs w:val="20"/>
              </w:rPr>
              <w:t>系</w:t>
            </w:r>
            <w:r w:rsidRPr="00E72BD0">
              <w:rPr>
                <w:rFonts w:eastAsia="SimSun" w:cstheme="minorHAnsi"/>
                <w:sz w:val="20"/>
                <w:szCs w:val="20"/>
              </w:rPr>
              <w:t>统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Supervisory control and data acquisition (SCADA)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交流保</w:t>
            </w:r>
            <w:r w:rsidRPr="00E72BD0">
              <w:rPr>
                <w:rFonts w:eastAsia="SimSun" w:cstheme="minorHAnsi"/>
                <w:sz w:val="20"/>
                <w:szCs w:val="20"/>
              </w:rPr>
              <w:t>护装置及基本原理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Basic theory of AC protection and relays</w:t>
            </w:r>
          </w:p>
          <w:p w:rsidR="00313D00" w:rsidRPr="00E72BD0" w:rsidRDefault="00313D00" w:rsidP="00313D00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MS Gothic" w:cstheme="minorHAnsi"/>
                <w:sz w:val="20"/>
                <w:szCs w:val="20"/>
              </w:rPr>
              <w:t>控制、保</w:t>
            </w:r>
            <w:r w:rsidRPr="00E72BD0">
              <w:rPr>
                <w:rFonts w:eastAsia="SimSun" w:cstheme="minorHAnsi"/>
                <w:sz w:val="20"/>
                <w:szCs w:val="20"/>
              </w:rPr>
              <w:t>护、测量屏柜指示灯释义</w:t>
            </w:r>
          </w:p>
          <w:p w:rsidR="00313D00" w:rsidRPr="00E72BD0" w:rsidRDefault="00313D00" w:rsidP="00313D00">
            <w:pPr>
              <w:pStyle w:val="ListParagraph"/>
              <w:ind w:left="360" w:firstLineChars="0" w:firstLine="0"/>
              <w:jc w:val="left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Indication of panels of control, control and measurement</w:t>
            </w:r>
          </w:p>
        </w:tc>
        <w:tc>
          <w:tcPr>
            <w:tcW w:w="1395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eastAsia="SimSun" w:cstheme="minorHAnsi"/>
                <w:sz w:val="20"/>
                <w:szCs w:val="20"/>
              </w:rPr>
              <w:t>专家讲授</w:t>
            </w:r>
          </w:p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Expert lecturing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:rsidR="00313D00" w:rsidRPr="00E72BD0" w:rsidRDefault="00313D00" w:rsidP="00313D0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2BD0">
              <w:rPr>
                <w:rFonts w:cstheme="minorHAnsi"/>
                <w:sz w:val="20"/>
                <w:szCs w:val="20"/>
              </w:rPr>
              <w:t>20</w:t>
            </w:r>
          </w:p>
        </w:tc>
      </w:tr>
    </w:tbl>
    <w:p w:rsidR="00E72BD0" w:rsidRDefault="00E72BD0"/>
    <w:p w:rsidR="00E72BD0" w:rsidRPr="00E72BD0" w:rsidRDefault="00E72BD0">
      <w:pPr>
        <w:rPr>
          <w:rFonts w:cstheme="minorHAnsi"/>
        </w:rPr>
      </w:pPr>
    </w:p>
    <w:sectPr w:rsidR="00E72BD0" w:rsidRPr="00E72B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32F5D"/>
    <w:multiLevelType w:val="hybridMultilevel"/>
    <w:tmpl w:val="05A8571A"/>
    <w:lvl w:ilvl="0" w:tplc="56F097A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0C72A8"/>
    <w:multiLevelType w:val="hybridMultilevel"/>
    <w:tmpl w:val="E99A5A48"/>
    <w:lvl w:ilvl="0" w:tplc="F8CAEF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D77B70"/>
    <w:multiLevelType w:val="hybridMultilevel"/>
    <w:tmpl w:val="D198730E"/>
    <w:lvl w:ilvl="0" w:tplc="4798E8D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877982"/>
    <w:multiLevelType w:val="hybridMultilevel"/>
    <w:tmpl w:val="174071C8"/>
    <w:lvl w:ilvl="0" w:tplc="AD3EB4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0976E3"/>
    <w:multiLevelType w:val="hybridMultilevel"/>
    <w:tmpl w:val="4D1A4FC6"/>
    <w:lvl w:ilvl="0" w:tplc="DE20F51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BD0"/>
    <w:rsid w:val="00272C7D"/>
    <w:rsid w:val="00313D00"/>
    <w:rsid w:val="00BF628F"/>
    <w:rsid w:val="00D321B4"/>
    <w:rsid w:val="00E7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DC8B"/>
  <w15:chartTrackingRefBased/>
  <w15:docId w15:val="{C4EC3424-E9B6-4F6B-94D8-C34233C6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2BD0"/>
    <w:pPr>
      <w:spacing w:after="0" w:line="240" w:lineRule="auto"/>
    </w:pPr>
    <w:rPr>
      <w:rFonts w:eastAsiaTheme="minorEastAsia"/>
      <w:kern w:val="2"/>
      <w:sz w:val="21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2BD0"/>
    <w:pPr>
      <w:widowControl w:val="0"/>
      <w:spacing w:after="0" w:line="240" w:lineRule="auto"/>
      <w:ind w:firstLineChars="200" w:firstLine="420"/>
      <w:jc w:val="both"/>
    </w:pPr>
    <w:rPr>
      <w:rFonts w:eastAsiaTheme="minorEastAsia"/>
      <w:kern w:val="2"/>
      <w:sz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2020-05-17T10:48:00Z</dcterms:created>
  <dcterms:modified xsi:type="dcterms:W3CDTF">2020-05-17T11:13:00Z</dcterms:modified>
</cp:coreProperties>
</file>