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0000" w:rsidRDefault="000F5D22">
      <w:pPr>
        <w:pStyle w:val="footer1"/>
        <w:spacing w:line="580" w:lineRule="exact"/>
        <w:jc w:val="center"/>
        <w:outlineLvl w:val="1"/>
        <w:rPr>
          <w:rFonts w:ascii="方正小标宋_GBK" w:eastAsia="方正小标宋_GBK" w:hAnsi="SimSun" w:hint="eastAsia"/>
          <w:sz w:val="44"/>
        </w:rPr>
      </w:pPr>
      <w:bookmarkStart w:id="0" w:name="_Toc21215"/>
      <w:bookmarkStart w:id="1" w:name="_Toc24041"/>
      <w:bookmarkStart w:id="2" w:name="_Toc2540"/>
      <w:bookmarkStart w:id="3" w:name="_Toc13682"/>
      <w:bookmarkStart w:id="4" w:name="_Toc1172"/>
      <w:r>
        <w:rPr>
          <w:rFonts w:ascii="方正小标宋_GBK" w:eastAsia="方正小标宋_GBK" w:hAnsi="SimSun" w:hint="eastAsia"/>
          <w:sz w:val="44"/>
        </w:rPr>
        <w:t>拉合尔</w:t>
      </w:r>
      <w:r>
        <w:rPr>
          <w:rFonts w:ascii="方正小标宋_GBK" w:eastAsia="方正小标宋_GBK" w:hAnsi="SimSun" w:hint="eastAsia"/>
          <w:sz w:val="44"/>
        </w:rPr>
        <w:t>换流</w:t>
      </w:r>
      <w:r>
        <w:rPr>
          <w:rFonts w:ascii="方正小标宋_GBK" w:eastAsia="方正小标宋_GBK" w:hAnsi="SimSun" w:hint="eastAsia"/>
          <w:sz w:val="44"/>
        </w:rPr>
        <w:t>站</w:t>
      </w:r>
      <w:r>
        <w:rPr>
          <w:rFonts w:ascii="方正小标宋_GBK" w:eastAsia="方正小标宋_GBK" w:hAnsi="SimSun" w:hint="eastAsia"/>
          <w:sz w:val="44"/>
        </w:rPr>
        <w:t>500kV</w:t>
      </w:r>
      <w:r>
        <w:rPr>
          <w:rFonts w:ascii="方正小标宋_GBK" w:eastAsia="方正小标宋_GBK" w:hAnsi="SimSun" w:hint="eastAsia"/>
          <w:sz w:val="44"/>
        </w:rPr>
        <w:t>开关技术总结</w:t>
      </w:r>
      <w:bookmarkEnd w:id="0"/>
      <w:bookmarkEnd w:id="1"/>
      <w:bookmarkEnd w:id="2"/>
      <w:r>
        <w:rPr>
          <w:rFonts w:ascii="方正小标宋_GBK" w:eastAsia="方正小标宋_GBK" w:hAnsi="SimSun" w:hint="eastAsia"/>
          <w:color w:val="FF0000"/>
          <w:sz w:val="44"/>
        </w:rPr>
        <w:t>【</w:t>
      </w:r>
      <w:r>
        <w:rPr>
          <w:rFonts w:ascii="方正小标宋_GBK" w:eastAsia="方正小标宋_GBK" w:hAnsi="SimSun" w:hint="eastAsia"/>
          <w:color w:val="FF0000"/>
          <w:sz w:val="44"/>
        </w:rPr>
        <w:t>TITLE</w:t>
      </w:r>
      <w:r>
        <w:rPr>
          <w:rFonts w:ascii="方正小标宋_GBK" w:eastAsia="方正小标宋_GBK" w:hAnsi="SimSun" w:hint="eastAsia"/>
          <w:color w:val="FF0000"/>
          <w:sz w:val="44"/>
        </w:rPr>
        <w:t>】</w:t>
      </w:r>
    </w:p>
    <w:p w:rsidR="00000000" w:rsidRDefault="000F5D22">
      <w:pPr>
        <w:spacing w:line="580" w:lineRule="exact"/>
        <w:jc w:val="center"/>
        <w:rPr>
          <w:rFonts w:ascii="方正楷体_GBK" w:eastAsia="方正楷体_GBK" w:hAnsi="方正楷体_GBK" w:cs="方正楷体_GBK" w:hint="eastAsia"/>
          <w:sz w:val="32"/>
          <w:szCs w:val="32"/>
        </w:rPr>
      </w:pPr>
      <w:r>
        <w:rPr>
          <w:rFonts w:ascii="方正楷体_GBK" w:eastAsia="方正楷体_GBK" w:hAnsi="方正楷体_GBK" w:cs="方正楷体_GBK" w:hint="eastAsia"/>
          <w:sz w:val="32"/>
          <w:szCs w:val="32"/>
        </w:rPr>
        <w:t>钟永林、李守金</w:t>
      </w:r>
      <w:r>
        <w:rPr>
          <w:rFonts w:ascii="方正楷体_GBK" w:eastAsia="方正楷体_GBK" w:hAnsi="方正楷体_GBK" w:cs="方正楷体_GBK" w:hint="eastAsia"/>
          <w:color w:val="FF0000"/>
          <w:sz w:val="32"/>
          <w:szCs w:val="32"/>
        </w:rPr>
        <w:t>【</w:t>
      </w:r>
      <w:r>
        <w:rPr>
          <w:rFonts w:ascii="方正楷体_GBK" w:eastAsia="方正楷体_GBK" w:hAnsi="方正楷体_GBK" w:cs="方正楷体_GBK" w:hint="eastAsia"/>
          <w:color w:val="FF0000"/>
          <w:sz w:val="32"/>
          <w:szCs w:val="32"/>
        </w:rPr>
        <w:t>NAME</w:t>
      </w:r>
      <w:r>
        <w:rPr>
          <w:rFonts w:ascii="方正楷体_GBK" w:eastAsia="方正楷体_GBK" w:hAnsi="方正楷体_GBK" w:cs="方正楷体_GBK" w:hint="eastAsia"/>
          <w:color w:val="FF0000"/>
          <w:sz w:val="32"/>
          <w:szCs w:val="32"/>
        </w:rPr>
        <w:t>】</w:t>
      </w:r>
    </w:p>
    <w:p w:rsidR="00000000" w:rsidRDefault="000F5D22">
      <w:pPr>
        <w:spacing w:line="580" w:lineRule="exact"/>
        <w:rPr>
          <w:rFonts w:ascii="方正楷体_GBK" w:eastAsia="方正楷体_GBK" w:hAnsi="方正楷体_GBK" w:cs="方正楷体_GBK"/>
          <w:sz w:val="32"/>
          <w:szCs w:val="32"/>
        </w:rPr>
      </w:pPr>
    </w:p>
    <w:p w:rsidR="00000000" w:rsidRDefault="000F5D22">
      <w:pPr>
        <w:spacing w:line="580" w:lineRule="exact"/>
        <w:ind w:firstLineChars="200" w:firstLine="640"/>
        <w:rPr>
          <w:rFonts w:ascii="方正仿宋_GBK" w:eastAsia="方正仿宋_GBK" w:hAnsi="方正仿宋_GBK" w:cs="方正仿宋_GBK" w:hint="eastAsia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拉合尔站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500kV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交流开关为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ABB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公司产品，采用双断口柱式方案，灭弧室采用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ABB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压气式灭弧室，该型号灭弧室开断容量大，可达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63kA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，性能稳定。机构采用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BLG1002A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型全弹簧操作机构，每相配一台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BLG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型操作机构。</w:t>
      </w:r>
      <w:r>
        <w:rPr>
          <w:rFonts w:ascii="方正仿宋_GBK" w:eastAsia="方正仿宋_GBK" w:hAnsi="方正仿宋_GBK" w:cs="方正仿宋_GBK" w:hint="eastAsia"/>
          <w:color w:val="FF0000"/>
          <w:sz w:val="32"/>
          <w:szCs w:val="32"/>
        </w:rPr>
        <w:t>【</w:t>
      </w:r>
      <w:r>
        <w:rPr>
          <w:rFonts w:ascii="方正仿宋_GBK" w:eastAsia="方正仿宋_GBK" w:hAnsi="方正仿宋_GBK" w:cs="方正仿宋_GBK" w:hint="eastAsia"/>
          <w:color w:val="FF0000"/>
          <w:sz w:val="32"/>
          <w:szCs w:val="32"/>
        </w:rPr>
        <w:t>TEXT</w:t>
      </w:r>
      <w:r>
        <w:rPr>
          <w:rFonts w:ascii="方正仿宋_GBK" w:eastAsia="方正仿宋_GBK" w:hAnsi="方正仿宋_GBK" w:cs="方正仿宋_GBK" w:hint="eastAsia"/>
          <w:color w:val="FF0000"/>
          <w:sz w:val="32"/>
          <w:szCs w:val="32"/>
        </w:rPr>
        <w:t>】</w:t>
      </w:r>
    </w:p>
    <w:p w:rsidR="00000000" w:rsidRDefault="000F5D22">
      <w:pPr>
        <w:tabs>
          <w:tab w:val="left" w:pos="2478"/>
        </w:tabs>
        <w:spacing w:line="580" w:lineRule="exact"/>
        <w:ind w:firstLineChars="200" w:firstLine="640"/>
        <w:rPr>
          <w:rFonts w:ascii="方正黑体_GBK" w:eastAsia="方正黑体_GBK" w:hAnsi="Arial" w:hint="eastAsia"/>
          <w:kern w:val="0"/>
          <w:sz w:val="32"/>
          <w:szCs w:val="30"/>
        </w:rPr>
      </w:pPr>
      <w:r>
        <w:rPr>
          <w:rFonts w:ascii="方正黑体_GBK" w:eastAsia="方正黑体_GBK" w:hAnsi="Arial" w:hint="eastAsia"/>
          <w:kern w:val="0"/>
          <w:sz w:val="32"/>
          <w:szCs w:val="30"/>
        </w:rPr>
        <w:t>一、开关配置差异</w:t>
      </w:r>
    </w:p>
    <w:p w:rsidR="00000000" w:rsidRDefault="000F5D22">
      <w:pPr>
        <w:spacing w:line="580" w:lineRule="exact"/>
        <w:ind w:firstLineChars="200" w:firstLine="640"/>
        <w:rPr>
          <w:rFonts w:ascii="方正仿宋_GBK" w:eastAsia="方正仿宋_GBK" w:hAnsi="方正仿宋_GBK" w:cs="方正仿宋_GBK" w:hint="eastAsia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现场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500kV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开关按照配置细分为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3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类，具体情况如下：</w:t>
      </w:r>
    </w:p>
    <w:tbl>
      <w:tblPr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45"/>
        <w:gridCol w:w="2716"/>
        <w:gridCol w:w="2735"/>
      </w:tblGrid>
      <w:tr w:rsidR="00000000">
        <w:trPr>
          <w:jc w:val="center"/>
        </w:trPr>
        <w:tc>
          <w:tcPr>
            <w:tcW w:w="1730" w:type="pct"/>
            <w:vAlign w:val="center"/>
          </w:tcPr>
          <w:p w:rsidR="00000000" w:rsidRDefault="000F5D22">
            <w:pPr>
              <w:pStyle w:val="footer1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noProof/>
                <w:highlight w:val="yellow"/>
              </w:rPr>
              <w:drawing>
                <wp:inline distT="0" distB="0" distL="0" distR="0">
                  <wp:extent cx="1792605" cy="1508760"/>
                  <wp:effectExtent l="0" t="0" r="0" b="0"/>
                  <wp:docPr id="1" name="图片 369" descr="图片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69" descr="图片1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2605" cy="150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pct"/>
            <w:vAlign w:val="center"/>
          </w:tcPr>
          <w:p w:rsidR="00000000" w:rsidRDefault="000F5D22">
            <w:pPr>
              <w:pStyle w:val="footer1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noProof/>
                <w:highlight w:val="yellow"/>
              </w:rPr>
              <w:drawing>
                <wp:inline distT="0" distB="0" distL="0" distR="0">
                  <wp:extent cx="1704975" cy="1511935"/>
                  <wp:effectExtent l="0" t="0" r="0" b="0"/>
                  <wp:docPr id="2" name="图片 370" descr="微信图片_20200907115742_副本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70" descr="微信图片_20200907115742_副本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51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2" w:type="pct"/>
            <w:vAlign w:val="center"/>
          </w:tcPr>
          <w:p w:rsidR="00000000" w:rsidRDefault="000F5D22">
            <w:pPr>
              <w:pStyle w:val="footer1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noProof/>
                <w:highlight w:val="yellow"/>
              </w:rPr>
              <w:drawing>
                <wp:inline distT="0" distB="0" distL="0" distR="0">
                  <wp:extent cx="1717675" cy="1515110"/>
                  <wp:effectExtent l="0" t="0" r="0" b="0"/>
                  <wp:docPr id="3" name="图片 574" descr="微信图片_202009071157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74" descr="微信图片_20200907115751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7675" cy="151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rPr>
          <w:jc w:val="center"/>
        </w:trPr>
        <w:tc>
          <w:tcPr>
            <w:tcW w:w="1730" w:type="pct"/>
            <w:vAlign w:val="center"/>
          </w:tcPr>
          <w:p w:rsidR="00000000" w:rsidRDefault="000F5D22">
            <w:pPr>
              <w:pStyle w:val="footer1"/>
              <w:spacing w:line="400" w:lineRule="exact"/>
              <w:jc w:val="center"/>
              <w:rPr>
                <w:rFonts w:ascii="方正仿宋_GBK" w:eastAsia="方正仿宋_GBK" w:hAnsi="Times New Roman" w:hint="eastAsia"/>
                <w:sz w:val="28"/>
                <w:szCs w:val="28"/>
              </w:rPr>
            </w:pPr>
            <w:r>
              <w:rPr>
                <w:rFonts w:ascii="方正仿宋_GBK" w:eastAsia="方正仿宋_GBK" w:hAnsi="Times New Roman" w:hint="eastAsia"/>
                <w:sz w:val="28"/>
                <w:szCs w:val="28"/>
              </w:rPr>
              <w:t>断口并联均压电容与合闸电阻</w:t>
            </w:r>
          </w:p>
        </w:tc>
        <w:tc>
          <w:tcPr>
            <w:tcW w:w="1587" w:type="pct"/>
            <w:vAlign w:val="center"/>
          </w:tcPr>
          <w:p w:rsidR="00000000" w:rsidRDefault="000F5D22">
            <w:pPr>
              <w:pStyle w:val="footer1"/>
              <w:spacing w:line="400" w:lineRule="exact"/>
              <w:jc w:val="center"/>
              <w:rPr>
                <w:rFonts w:ascii="方正仿宋_GBK" w:eastAsia="方正仿宋_GBK" w:hAnsi="Times New Roman" w:hint="eastAsia"/>
                <w:sz w:val="28"/>
                <w:szCs w:val="28"/>
              </w:rPr>
            </w:pPr>
            <w:r>
              <w:rPr>
                <w:rFonts w:ascii="方正仿宋_GBK" w:eastAsia="方正仿宋_GBK" w:hAnsi="Times New Roman" w:hint="eastAsia"/>
                <w:sz w:val="28"/>
                <w:szCs w:val="28"/>
              </w:rPr>
              <w:t>断口并联均压电容</w:t>
            </w:r>
          </w:p>
        </w:tc>
        <w:tc>
          <w:tcPr>
            <w:tcW w:w="1682" w:type="pct"/>
            <w:vAlign w:val="center"/>
          </w:tcPr>
          <w:p w:rsidR="00000000" w:rsidRDefault="000F5D22">
            <w:pPr>
              <w:pStyle w:val="footer1"/>
              <w:spacing w:line="400" w:lineRule="exact"/>
              <w:jc w:val="center"/>
              <w:rPr>
                <w:rFonts w:ascii="方正仿宋_GBK" w:eastAsia="方正仿宋_GBK" w:hAnsi="Times New Roman" w:hint="eastAsia"/>
                <w:sz w:val="28"/>
                <w:szCs w:val="28"/>
              </w:rPr>
            </w:pPr>
            <w:r>
              <w:rPr>
                <w:rFonts w:ascii="方正仿宋_GBK" w:eastAsia="方正仿宋_GBK" w:hAnsi="Times New Roman" w:hint="eastAsia"/>
                <w:sz w:val="28"/>
                <w:szCs w:val="28"/>
              </w:rPr>
              <w:t>断口未并联均压电容与合闸电阻</w:t>
            </w:r>
          </w:p>
        </w:tc>
      </w:tr>
    </w:tbl>
    <w:p w:rsidR="00000000" w:rsidRDefault="000F5D22">
      <w:pPr>
        <w:spacing w:line="580" w:lineRule="exact"/>
        <w:ind w:firstLineChars="200" w:firstLine="640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1.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均压电容：主要是起到均压的作用。在开关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关合状态时，电容不起作用，当开关在分闸状态时，串联的两个断口相当于两个电容器串联在一起，这时由于电压降的存在，会使两个串联断口间产生电位差，电压分布不均衡，为消除这种不平衡，给串联的两个断口再并联一个大些的电容，这个电容类似一个充电电容，向两个串联在一起的电容同时充电，这样就使断口间的电压得到平衡。</w:t>
      </w:r>
    </w:p>
    <w:p w:rsidR="00000000" w:rsidRDefault="000F5D22">
      <w:pPr>
        <w:spacing w:line="580" w:lineRule="exact"/>
        <w:ind w:firstLineChars="200" w:firstLine="640"/>
        <w:rPr>
          <w:rFonts w:ascii="方正仿宋_GBK" w:eastAsia="方正仿宋_GBK" w:hAnsi="方正仿宋_GBK" w:cs="方正仿宋_GBK" w:hint="eastAsia"/>
          <w:color w:val="000000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</w:rPr>
        <w:t>2.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</w:rPr>
        <w:t>合闸电阻：主要是限制操作过电压。电力系统中投切空载线路，会产生操作过电压，在开关上装设合闸电阻，释放电网的能量，从而保护电网电气设备。合闸电阻在主断口（灭弧室）合闸前的几个毫秒投入。</w:t>
      </w:r>
    </w:p>
    <w:p w:rsidR="00000000" w:rsidRDefault="000F5D22">
      <w:pPr>
        <w:spacing w:line="580" w:lineRule="exact"/>
        <w:ind w:firstLineChars="200" w:firstLine="640"/>
        <w:rPr>
          <w:rFonts w:ascii="方正仿宋_GBK" w:eastAsia="方正仿宋_GBK" w:hAnsi="方正仿宋_GBK" w:cs="方正仿宋_GBK" w:hint="eastAsia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3.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选相合闸装置：在系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统电压或电流特定的角度下控制开关进行合闸的装置。通过引入母线电压和开关电流后，由软件计算出开关最佳合闸时刻，控制开关在交流电压的过零点合闸，将开关合闸时的涌流和过电压限制在可接受的范围内，实现开关合闸。</w:t>
      </w:r>
    </w:p>
    <w:p w:rsidR="00000000" w:rsidRDefault="000F5D22">
      <w:pPr>
        <w:spacing w:line="580" w:lineRule="exact"/>
        <w:ind w:firstLineChars="200" w:firstLine="640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4.500kV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交流开关配置差异表</w:t>
      </w:r>
    </w:p>
    <w:tbl>
      <w:tblPr>
        <w:tblW w:w="5004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69"/>
        <w:gridCol w:w="886"/>
        <w:gridCol w:w="886"/>
        <w:gridCol w:w="886"/>
        <w:gridCol w:w="858"/>
        <w:gridCol w:w="859"/>
        <w:gridCol w:w="859"/>
      </w:tblGrid>
      <w:tr w:rsidR="00000000">
        <w:trPr>
          <w:trHeight w:val="90"/>
          <w:jc w:val="center"/>
        </w:trPr>
        <w:tc>
          <w:tcPr>
            <w:tcW w:w="1862" w:type="pct"/>
            <w:shd w:val="clear" w:color="auto" w:fill="A4A4A4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</w:pPr>
            <w:r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  <w:t>开关名称</w:t>
            </w:r>
          </w:p>
        </w:tc>
        <w:tc>
          <w:tcPr>
            <w:tcW w:w="513" w:type="pct"/>
            <w:shd w:val="clear" w:color="auto" w:fill="A4A4A4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</w:pPr>
            <w:r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  <w:t>额定压力（</w:t>
            </w:r>
            <w:r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  <w:t>Mpa</w:t>
            </w:r>
            <w:r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  <w:t>）</w:t>
            </w:r>
          </w:p>
        </w:tc>
        <w:tc>
          <w:tcPr>
            <w:tcW w:w="513" w:type="pct"/>
            <w:shd w:val="clear" w:color="auto" w:fill="A4A4A4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</w:pPr>
            <w:r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  <w:t>报警压力（</w:t>
            </w:r>
            <w:r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  <w:t>Mpa</w:t>
            </w:r>
            <w:r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  <w:t>）</w:t>
            </w:r>
          </w:p>
        </w:tc>
        <w:tc>
          <w:tcPr>
            <w:tcW w:w="514" w:type="pct"/>
            <w:shd w:val="clear" w:color="auto" w:fill="A4A4A4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</w:pPr>
            <w:r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  <w:t>闭锁压力（</w:t>
            </w:r>
            <w:r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  <w:t>Mpa</w:t>
            </w:r>
            <w:r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  <w:t>）</w:t>
            </w:r>
          </w:p>
        </w:tc>
        <w:tc>
          <w:tcPr>
            <w:tcW w:w="531" w:type="pct"/>
            <w:shd w:val="clear" w:color="auto" w:fill="A4A4A4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</w:pPr>
            <w:r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  <w:t>均压电容</w:t>
            </w:r>
          </w:p>
        </w:tc>
        <w:tc>
          <w:tcPr>
            <w:tcW w:w="532" w:type="pct"/>
            <w:shd w:val="clear" w:color="auto" w:fill="A4A4A4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</w:pPr>
            <w:r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  <w:t>合闸电阻</w:t>
            </w:r>
          </w:p>
        </w:tc>
        <w:tc>
          <w:tcPr>
            <w:tcW w:w="532" w:type="pct"/>
            <w:shd w:val="clear" w:color="auto" w:fill="A4A4A4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楷体_GBK" w:eastAsia="方正楷体_GBK" w:hAnsi="方正楷体_GBK" w:cs="方正楷体_GBK"/>
                <w:kern w:val="0"/>
                <w:szCs w:val="21"/>
              </w:rPr>
            </w:pPr>
            <w:r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  <w:t>选相合闸装置</w:t>
            </w:r>
          </w:p>
        </w:tc>
      </w:tr>
      <w:tr w:rsidR="00000000">
        <w:trPr>
          <w:trHeight w:val="1134"/>
          <w:jc w:val="center"/>
        </w:trPr>
        <w:tc>
          <w:tcPr>
            <w:tcW w:w="1862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B1Q1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B1Q3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B2Q1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B2Q2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B3Q1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B3Q3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B3Q2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B4Q1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B4Q3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B4Q2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B5Q1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B5Q3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B6Q1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B6Q3</w:t>
            </w:r>
          </w:p>
        </w:tc>
        <w:tc>
          <w:tcPr>
            <w:tcW w:w="513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/>
                <w:kern w:val="0"/>
                <w:szCs w:val="21"/>
              </w:rPr>
              <w:t>0.7</w:t>
            </w:r>
          </w:p>
        </w:tc>
        <w:tc>
          <w:tcPr>
            <w:tcW w:w="513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/>
                <w:kern w:val="0"/>
                <w:szCs w:val="21"/>
              </w:rPr>
              <w:t>0.62</w:t>
            </w:r>
          </w:p>
        </w:tc>
        <w:tc>
          <w:tcPr>
            <w:tcW w:w="514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0.6</w:t>
            </w:r>
          </w:p>
        </w:tc>
        <w:tc>
          <w:tcPr>
            <w:tcW w:w="531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有</w:t>
            </w:r>
          </w:p>
        </w:tc>
        <w:tc>
          <w:tcPr>
            <w:tcW w:w="532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有</w:t>
            </w:r>
          </w:p>
        </w:tc>
        <w:tc>
          <w:tcPr>
            <w:tcW w:w="532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</w:p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——</w:t>
            </w:r>
          </w:p>
        </w:tc>
      </w:tr>
      <w:tr w:rsidR="00000000">
        <w:trPr>
          <w:trHeight w:val="490"/>
          <w:jc w:val="center"/>
        </w:trPr>
        <w:tc>
          <w:tcPr>
            <w:tcW w:w="1862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B1Q2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B2Q2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B5Q2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B6Q2</w:t>
            </w:r>
          </w:p>
        </w:tc>
        <w:tc>
          <w:tcPr>
            <w:tcW w:w="513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/>
                <w:kern w:val="0"/>
                <w:szCs w:val="21"/>
              </w:rPr>
              <w:t>0.8</w:t>
            </w:r>
          </w:p>
        </w:tc>
        <w:tc>
          <w:tcPr>
            <w:tcW w:w="513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/>
                <w:kern w:val="0"/>
                <w:szCs w:val="21"/>
              </w:rPr>
              <w:t>0.72</w:t>
            </w:r>
          </w:p>
        </w:tc>
        <w:tc>
          <w:tcPr>
            <w:tcW w:w="514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/>
                <w:kern w:val="0"/>
                <w:szCs w:val="21"/>
              </w:rPr>
              <w:t>0.7</w:t>
            </w:r>
          </w:p>
        </w:tc>
        <w:tc>
          <w:tcPr>
            <w:tcW w:w="531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——</w:t>
            </w:r>
          </w:p>
        </w:tc>
        <w:tc>
          <w:tcPr>
            <w:tcW w:w="532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——</w:t>
            </w:r>
          </w:p>
        </w:tc>
        <w:tc>
          <w:tcPr>
            <w:tcW w:w="532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——</w:t>
            </w:r>
          </w:p>
        </w:tc>
      </w:tr>
      <w:tr w:rsidR="00000000">
        <w:trPr>
          <w:trHeight w:val="1134"/>
          <w:jc w:val="center"/>
        </w:trPr>
        <w:tc>
          <w:tcPr>
            <w:tcW w:w="1862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F1B1Q1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F1B2Q1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F1B3Q1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F1B4Q1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F2B1Q1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F2B2Q1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F2B3Q1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F2B4Q1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F3B1Q1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F3B2Q1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F3B3Q1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F3B4Q1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F4B1Q1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F4B2Q1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F4B3Q1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F4B4Q1</w:t>
            </w:r>
          </w:p>
        </w:tc>
        <w:tc>
          <w:tcPr>
            <w:tcW w:w="513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/>
                <w:kern w:val="0"/>
                <w:szCs w:val="21"/>
              </w:rPr>
              <w:t>0.85</w:t>
            </w:r>
          </w:p>
        </w:tc>
        <w:tc>
          <w:tcPr>
            <w:tcW w:w="513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/>
                <w:kern w:val="0"/>
                <w:szCs w:val="21"/>
              </w:rPr>
              <w:t>0.77</w:t>
            </w:r>
          </w:p>
        </w:tc>
        <w:tc>
          <w:tcPr>
            <w:tcW w:w="514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/>
                <w:kern w:val="0"/>
                <w:szCs w:val="21"/>
              </w:rPr>
              <w:t>0.75</w:t>
            </w:r>
          </w:p>
        </w:tc>
        <w:tc>
          <w:tcPr>
            <w:tcW w:w="531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有</w:t>
            </w:r>
          </w:p>
        </w:tc>
        <w:tc>
          <w:tcPr>
            <w:tcW w:w="532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——</w:t>
            </w:r>
          </w:p>
        </w:tc>
        <w:tc>
          <w:tcPr>
            <w:tcW w:w="532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有</w:t>
            </w:r>
          </w:p>
        </w:tc>
      </w:tr>
    </w:tbl>
    <w:p w:rsidR="00000000" w:rsidRDefault="000F5D22">
      <w:pPr>
        <w:tabs>
          <w:tab w:val="left" w:pos="2478"/>
        </w:tabs>
        <w:spacing w:line="580" w:lineRule="exact"/>
        <w:ind w:firstLineChars="200" w:firstLine="640"/>
        <w:rPr>
          <w:rFonts w:ascii="方正黑体_GBK" w:eastAsia="方正黑体_GBK" w:hAnsi="Arial"/>
          <w:kern w:val="0"/>
          <w:sz w:val="32"/>
          <w:szCs w:val="30"/>
        </w:rPr>
      </w:pPr>
      <w:r>
        <w:rPr>
          <w:rFonts w:ascii="方正黑体_GBK" w:eastAsia="方正黑体_GBK" w:hAnsi="Arial" w:hint="eastAsia"/>
          <w:kern w:val="0"/>
          <w:sz w:val="32"/>
          <w:szCs w:val="30"/>
        </w:rPr>
        <w:t>二、开关保护差异</w:t>
      </w:r>
    </w:p>
    <w:p w:rsidR="00000000" w:rsidRDefault="000F5D22">
      <w:pPr>
        <w:spacing w:line="580" w:lineRule="exact"/>
        <w:ind w:firstLineChars="200" w:firstLine="640"/>
        <w:rPr>
          <w:rFonts w:ascii="方正仿宋_GBK" w:eastAsia="方正仿宋_GBK" w:hAnsi="方正仿宋_GBK" w:cs="方正仿宋_GBK" w:hint="eastAsia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500kV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交流场开关保护配置和二次回路设计方面与国内有较大差别，主要体现在以下几个方面：</w:t>
      </w:r>
    </w:p>
    <w:p w:rsidR="00000000" w:rsidRDefault="000F5D22">
      <w:pPr>
        <w:spacing w:line="580" w:lineRule="exact"/>
        <w:ind w:firstLineChars="200" w:firstLine="640"/>
        <w:rPr>
          <w:rFonts w:ascii="方正仿宋_GBK" w:eastAsia="方正仿宋_GBK" w:hAnsi="方正仿宋_GBK" w:cs="方正仿宋_GBK" w:hint="eastAsia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1.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没有配置开关操作箱，配置有开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关监视屏，只是对开关的分闸回路进行监视。</w:t>
      </w:r>
    </w:p>
    <w:p w:rsidR="00000000" w:rsidRDefault="000F5D22">
      <w:pPr>
        <w:spacing w:line="580" w:lineRule="exact"/>
        <w:ind w:firstLineChars="200" w:firstLine="640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2.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开关储能电机为双电机，机构箱内配置有两个开关储能空开，正常运行时必须将两个储能空开都投入。</w:t>
      </w:r>
    </w:p>
    <w:p w:rsidR="00000000" w:rsidRDefault="000F5D22">
      <w:pPr>
        <w:jc w:val="center"/>
      </w:pPr>
      <w:r>
        <w:rPr>
          <w:noProof/>
        </w:rPr>
        <w:drawing>
          <wp:inline distT="0" distB="0" distL="0" distR="0">
            <wp:extent cx="3308350" cy="1871345"/>
            <wp:effectExtent l="0" t="0" r="0" b="0"/>
            <wp:docPr id="4" name="图片 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2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F5D22">
      <w:pPr>
        <w:spacing w:line="580" w:lineRule="exact"/>
        <w:ind w:firstLineChars="200" w:firstLine="640"/>
        <w:rPr>
          <w:rFonts w:ascii="方正仿宋_GBK" w:eastAsia="方正仿宋_GBK" w:hAnsi="Times New Roman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3.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开关合闸回路中串联了多个保护接点。开关合闸需要经过多条件闭锁。以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B2Q1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开关举例说明：</w:t>
      </w:r>
    </w:p>
    <w:p w:rsidR="00000000" w:rsidRDefault="000F5D22">
      <w:pPr>
        <w:jc w:val="center"/>
        <w:rPr>
          <w:rFonts w:ascii="方正仿宋_GBK" w:eastAsia="方正仿宋_GBK" w:hAnsi="Times New Roman"/>
          <w:sz w:val="32"/>
          <w:szCs w:val="32"/>
        </w:rPr>
      </w:pPr>
      <w:r>
        <w:rPr>
          <w:rFonts w:ascii="方正仿宋_GBK" w:eastAsia="方正仿宋_GBK" w:hAnsi="Times New Roman" w:hint="eastAsia"/>
          <w:noProof/>
          <w:sz w:val="32"/>
          <w:szCs w:val="32"/>
        </w:rPr>
        <w:drawing>
          <wp:inline distT="0" distB="0" distL="0" distR="0">
            <wp:extent cx="5271135" cy="2612390"/>
            <wp:effectExtent l="0" t="0" r="0" b="0"/>
            <wp:docPr id="5" name="图片 373" descr="图片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3" descr="图片1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F5D22">
      <w:pPr>
        <w:spacing w:line="580" w:lineRule="exact"/>
        <w:ind w:firstLineChars="200" w:firstLine="640"/>
        <w:rPr>
          <w:rFonts w:ascii="方正仿宋_GBK" w:eastAsia="方正仿宋_GBK" w:hAnsi="方正仿宋_GBK" w:cs="方正仿宋_GBK" w:hint="eastAsia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（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1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）线路保护Ⅰ和Ⅱ的接点：对侧站发送过来的过压、失灵的接点和本侧过压保护的接点。</w:t>
      </w:r>
    </w:p>
    <w:p w:rsidR="00000000" w:rsidRDefault="000F5D22">
      <w:pPr>
        <w:spacing w:line="580" w:lineRule="exact"/>
        <w:ind w:firstLineChars="200" w:firstLine="640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（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2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）开关保护的接点：本开关失灵的接点和相邻开关失灵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2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段的接点。</w:t>
      </w:r>
    </w:p>
    <w:p w:rsidR="00000000" w:rsidRDefault="000F5D22">
      <w:pPr>
        <w:spacing w:line="580" w:lineRule="exact"/>
        <w:ind w:firstLineChars="200" w:firstLine="640"/>
        <w:rPr>
          <w:rFonts w:ascii="方正仿宋_GBK" w:eastAsia="方正仿宋_GBK" w:hAnsi="方正仿宋_GBK" w:cs="方正仿宋_GBK" w:hint="eastAsia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（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3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）对分闸线圈的监视继电器接点：合闸的前提是保证至少一组分闸线圈是完好的。</w:t>
      </w:r>
    </w:p>
    <w:p w:rsidR="00000000" w:rsidRDefault="000F5D22">
      <w:pPr>
        <w:spacing w:line="580" w:lineRule="exact"/>
        <w:ind w:firstLineChars="200" w:firstLine="640"/>
        <w:rPr>
          <w:rFonts w:ascii="方正仿宋_GBK" w:eastAsia="方正仿宋_GBK" w:hAnsi="方正仿宋_GBK" w:cs="方正仿宋_GBK" w:hint="eastAsia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（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4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）开关合闸回路串入保护接点表</w:t>
      </w:r>
    </w:p>
    <w:tbl>
      <w:tblPr>
        <w:tblW w:w="4999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21"/>
        <w:gridCol w:w="1175"/>
        <w:gridCol w:w="1175"/>
        <w:gridCol w:w="1175"/>
        <w:gridCol w:w="1174"/>
        <w:gridCol w:w="1174"/>
      </w:tblGrid>
      <w:tr w:rsidR="00000000">
        <w:trPr>
          <w:trHeight w:val="800"/>
          <w:jc w:val="center"/>
        </w:trPr>
        <w:tc>
          <w:tcPr>
            <w:tcW w:w="1458" w:type="pct"/>
            <w:shd w:val="clear" w:color="auto" w:fill="A4A4A4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</w:pPr>
            <w:r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  <w:t>开关名称</w:t>
            </w:r>
          </w:p>
        </w:tc>
        <w:tc>
          <w:tcPr>
            <w:tcW w:w="708" w:type="pct"/>
            <w:shd w:val="clear" w:color="auto" w:fill="A4A4A4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</w:pPr>
            <w:r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  <w:t>线</w:t>
            </w:r>
            <w:r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  <w:t>路保护</w:t>
            </w:r>
            <w:r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  <w:t>1</w:t>
            </w:r>
            <w:r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  <w:t>允许</w:t>
            </w:r>
          </w:p>
        </w:tc>
        <w:tc>
          <w:tcPr>
            <w:tcW w:w="708" w:type="pct"/>
            <w:shd w:val="clear" w:color="auto" w:fill="A4A4A4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</w:pPr>
            <w:r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  <w:t>线路保护二允许</w:t>
            </w:r>
          </w:p>
        </w:tc>
        <w:tc>
          <w:tcPr>
            <w:tcW w:w="708" w:type="pct"/>
            <w:shd w:val="clear" w:color="auto" w:fill="A4A4A4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</w:pPr>
            <w:r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  <w:t>开关失灵保护允许</w:t>
            </w:r>
          </w:p>
        </w:tc>
        <w:tc>
          <w:tcPr>
            <w:tcW w:w="708" w:type="pct"/>
            <w:shd w:val="clear" w:color="auto" w:fill="A4A4A4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</w:pPr>
            <w:r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  <w:t>母线保护允许</w:t>
            </w:r>
          </w:p>
        </w:tc>
        <w:tc>
          <w:tcPr>
            <w:tcW w:w="708" w:type="pct"/>
            <w:shd w:val="clear" w:color="auto" w:fill="A4A4A4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</w:pPr>
            <w:r>
              <w:rPr>
                <w:rFonts w:ascii="方正楷体_GBK" w:eastAsia="方正楷体_GBK" w:hAnsi="方正楷体_GBK" w:cs="方正楷体_GBK" w:hint="eastAsia"/>
                <w:kern w:val="0"/>
                <w:szCs w:val="21"/>
              </w:rPr>
              <w:t>跳闸监视回路允许</w:t>
            </w:r>
          </w:p>
        </w:tc>
      </w:tr>
      <w:tr w:rsidR="00000000">
        <w:trPr>
          <w:trHeight w:val="800"/>
          <w:jc w:val="center"/>
        </w:trPr>
        <w:tc>
          <w:tcPr>
            <w:tcW w:w="1458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B2Q1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B3Q1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B4Q1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B4Q2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B5Q1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B6Q1</w:t>
            </w:r>
          </w:p>
        </w:tc>
        <w:tc>
          <w:tcPr>
            <w:tcW w:w="708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/>
                <w:kern w:val="0"/>
                <w:szCs w:val="21"/>
              </w:rPr>
              <w:t>√</w:t>
            </w:r>
          </w:p>
        </w:tc>
        <w:tc>
          <w:tcPr>
            <w:tcW w:w="708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/>
                <w:kern w:val="0"/>
                <w:szCs w:val="21"/>
              </w:rPr>
              <w:t>√</w:t>
            </w:r>
          </w:p>
        </w:tc>
        <w:tc>
          <w:tcPr>
            <w:tcW w:w="708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/>
                <w:kern w:val="0"/>
                <w:szCs w:val="21"/>
              </w:rPr>
              <w:t>√</w:t>
            </w:r>
          </w:p>
        </w:tc>
        <w:tc>
          <w:tcPr>
            <w:tcW w:w="708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/>
                <w:kern w:val="0"/>
                <w:szCs w:val="21"/>
              </w:rPr>
              <w:t>√</w:t>
            </w:r>
          </w:p>
        </w:tc>
        <w:tc>
          <w:tcPr>
            <w:tcW w:w="708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/>
                <w:kern w:val="0"/>
                <w:szCs w:val="21"/>
              </w:rPr>
              <w:t>√</w:t>
            </w:r>
          </w:p>
        </w:tc>
      </w:tr>
      <w:tr w:rsidR="00000000">
        <w:trPr>
          <w:trHeight w:val="800"/>
          <w:jc w:val="center"/>
        </w:trPr>
        <w:tc>
          <w:tcPr>
            <w:tcW w:w="1458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B2Q3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B3Q3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B4Q3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B5Q3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B6Q3</w:t>
            </w:r>
          </w:p>
        </w:tc>
        <w:tc>
          <w:tcPr>
            <w:tcW w:w="708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/>
                <w:kern w:val="0"/>
                <w:szCs w:val="21"/>
              </w:rPr>
              <w:t>√</w:t>
            </w:r>
          </w:p>
        </w:tc>
        <w:tc>
          <w:tcPr>
            <w:tcW w:w="708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/>
                <w:kern w:val="0"/>
                <w:szCs w:val="21"/>
              </w:rPr>
              <w:t>√</w:t>
            </w:r>
          </w:p>
        </w:tc>
        <w:tc>
          <w:tcPr>
            <w:tcW w:w="708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/>
                <w:kern w:val="0"/>
                <w:szCs w:val="21"/>
              </w:rPr>
              <w:t>√</w:t>
            </w:r>
          </w:p>
        </w:tc>
        <w:tc>
          <w:tcPr>
            <w:tcW w:w="708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——</w:t>
            </w:r>
          </w:p>
        </w:tc>
        <w:tc>
          <w:tcPr>
            <w:tcW w:w="708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/>
                <w:kern w:val="0"/>
                <w:szCs w:val="21"/>
              </w:rPr>
              <w:t>√</w:t>
            </w:r>
          </w:p>
        </w:tc>
      </w:tr>
      <w:tr w:rsidR="00000000">
        <w:trPr>
          <w:trHeight w:val="800"/>
          <w:jc w:val="center"/>
        </w:trPr>
        <w:tc>
          <w:tcPr>
            <w:tcW w:w="1458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B1Q1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B1Q2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B2Q2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B3Q2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B5Q2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、</w:t>
            </w: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B6Q2</w:t>
            </w:r>
          </w:p>
        </w:tc>
        <w:tc>
          <w:tcPr>
            <w:tcW w:w="708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——</w:t>
            </w:r>
          </w:p>
        </w:tc>
        <w:tc>
          <w:tcPr>
            <w:tcW w:w="708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——</w:t>
            </w:r>
          </w:p>
        </w:tc>
        <w:tc>
          <w:tcPr>
            <w:tcW w:w="708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/>
                <w:kern w:val="0"/>
                <w:szCs w:val="21"/>
              </w:rPr>
              <w:t>√</w:t>
            </w:r>
          </w:p>
        </w:tc>
        <w:tc>
          <w:tcPr>
            <w:tcW w:w="708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/>
                <w:kern w:val="0"/>
                <w:szCs w:val="21"/>
              </w:rPr>
              <w:t>√</w:t>
            </w:r>
          </w:p>
        </w:tc>
        <w:tc>
          <w:tcPr>
            <w:tcW w:w="708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/>
                <w:kern w:val="0"/>
                <w:szCs w:val="21"/>
              </w:rPr>
              <w:t>√</w:t>
            </w:r>
          </w:p>
        </w:tc>
      </w:tr>
      <w:tr w:rsidR="00000000">
        <w:trPr>
          <w:trHeight w:val="800"/>
          <w:jc w:val="center"/>
        </w:trPr>
        <w:tc>
          <w:tcPr>
            <w:tcW w:w="1458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B1Q3</w:t>
            </w:r>
          </w:p>
        </w:tc>
        <w:tc>
          <w:tcPr>
            <w:tcW w:w="708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——</w:t>
            </w:r>
          </w:p>
        </w:tc>
        <w:tc>
          <w:tcPr>
            <w:tcW w:w="708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——</w:t>
            </w:r>
          </w:p>
        </w:tc>
        <w:tc>
          <w:tcPr>
            <w:tcW w:w="708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/>
                <w:kern w:val="0"/>
                <w:szCs w:val="21"/>
              </w:rPr>
              <w:t>√</w:t>
            </w:r>
          </w:p>
        </w:tc>
        <w:tc>
          <w:tcPr>
            <w:tcW w:w="708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 w:hint="eastAsia"/>
                <w:kern w:val="0"/>
                <w:szCs w:val="21"/>
              </w:rPr>
              <w:t>——</w:t>
            </w:r>
          </w:p>
        </w:tc>
        <w:tc>
          <w:tcPr>
            <w:tcW w:w="708" w:type="pct"/>
            <w:vAlign w:val="center"/>
          </w:tcPr>
          <w:p w:rsidR="00000000" w:rsidRDefault="000F5D22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kern w:val="0"/>
                <w:szCs w:val="21"/>
              </w:rPr>
            </w:pPr>
            <w:r>
              <w:rPr>
                <w:rFonts w:ascii="方正仿宋_GBK" w:eastAsia="方正仿宋_GBK" w:hAnsi="方正仿宋_GBK" w:cs="方正仿宋_GBK"/>
                <w:kern w:val="0"/>
                <w:szCs w:val="21"/>
              </w:rPr>
              <w:t>√</w:t>
            </w:r>
          </w:p>
        </w:tc>
      </w:tr>
    </w:tbl>
    <w:p w:rsidR="00000000" w:rsidRDefault="000F5D22">
      <w:pPr>
        <w:spacing w:line="580" w:lineRule="exact"/>
        <w:ind w:firstLineChars="200" w:firstLine="640"/>
        <w:rPr>
          <w:rFonts w:ascii="方正仿宋_GBK" w:eastAsia="方正仿宋_GBK" w:hAnsi="方正仿宋_GBK" w:cs="方正仿宋_GBK"/>
          <w:color w:val="000000"/>
          <w:sz w:val="28"/>
          <w:szCs w:val="28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4.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开关重合闸功能没有配置在开关保护屏上的开关保护装置中，而是在线路保护屏上单独有重合闸保护装置。</w:t>
      </w:r>
      <w:bookmarkEnd w:id="3"/>
      <w:bookmarkEnd w:id="4"/>
    </w:p>
    <w:sectPr w:rsidR="00000000">
      <w:headerReference w:type="default" r:id="rId12"/>
      <w:footerReference w:type="default" r:id="rId13"/>
      <w:pgSz w:w="11906" w:h="16838"/>
      <w:pgMar w:top="1871" w:right="1800" w:bottom="1134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F5D22">
      <w:r>
        <w:separator/>
      </w:r>
    </w:p>
  </w:endnote>
  <w:endnote w:type="continuationSeparator" w:id="0">
    <w:p w:rsidR="00000000" w:rsidRDefault="000F5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方正仿宋_GBK">
    <w:altName w:val="Microsoft YaHei"/>
    <w:charset w:val="86"/>
    <w:family w:val="script"/>
    <w:pitch w:val="default"/>
    <w:sig w:usb0="00000001" w:usb1="080E0000" w:usb2="00000000" w:usb3="00000000" w:csb0="00040000" w:csb1="00000000"/>
  </w:font>
  <w:font w:name="SymbolMT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黑体_GBK">
    <w:altName w:val="Microsoft YaHei"/>
    <w:charset w:val="86"/>
    <w:family w:val="script"/>
    <w:pitch w:val="default"/>
    <w:sig w:usb0="00000001" w:usb1="080E0000" w:usb2="0000000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Microsoft YaHei"/>
    <w:charset w:val="86"/>
    <w:family w:val="script"/>
    <w:pitch w:val="default"/>
    <w:sig w:usb0="00000001" w:usb1="080E0000" w:usb2="00000000" w:usb3="00000000" w:csb0="00040000" w:csb1="00000000"/>
  </w:font>
  <w:font w:name="方正楷体_GBK">
    <w:altName w:val="Microsoft YaHei"/>
    <w:charset w:val="86"/>
    <w:family w:val="script"/>
    <w:pitch w:val="default"/>
    <w:sig w:usb0="00000001" w:usb1="080E0000" w:usb2="00000000" w:usb3="00000000" w:csb0="00040000" w:csb1="00000000"/>
  </w:font>
  <w:font w:name="FangSong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00000" w:rsidRDefault="000F5D22">
    <w:pPr>
      <w:pStyle w:val="Footer"/>
      <w:tabs>
        <w:tab w:val="clear" w:pos="8306"/>
        <w:tab w:val="right" w:pos="8820"/>
      </w:tabs>
      <w:ind w:right="23"/>
      <w:rPr>
        <w:rFonts w:ascii="FangSong_GB2312"/>
        <w:sz w:val="28"/>
        <w:szCs w:val="28"/>
      </w:rPr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20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00000" w:rsidRDefault="000F5D22">
                          <w:pPr>
                            <w:pStyle w:val="Foo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</w:instrText>
                          </w:r>
                          <w:r>
                            <w:rPr>
                              <w:rFonts w:hint="eastAsia"/>
                            </w:rPr>
                            <w:instrText xml:space="preserve">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lang w:val="en-US" w:eastAsia="en-US"/>
                            </w:rPr>
                            <w:t>179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061" o:spid="_x0000_s1026" type="#_x0000_t202" style="position:absolute;margin-left:0;margin-top:0;width:2in;height:2in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5kV0HmAQAArAMAAA4AAABkcnMvZTJvRG9jLnhtbKxTS27bMBDdF8gdCO5jyV4YhmA5aBs4&#13;&#10;CJB+gLQHGFGURVTkECRtyT1Ae4Ouuum+5/I5OqQsJ213RTfEkDN8nPfmcX0z6I4dpPMKTcnns5wz&#13;&#10;aQTWyuxK/vHD9nrFmQ9gaujQyJIfpec3m6sX694WcoEtdrV0jECML3pb8jYEW2SZF63U4GdopaFk&#13;&#10;g05DoK3bZbWDntB1ly3yfJn16GrrUEjv6fR2TPJNwm8aKcK7pvEysK7k1FtIq0trldZss4Zi58C2&#13;&#10;Spz7gH9oQ4My9OoF6hYCsL1Tf0FpJRx6bMJMoM6waZSQiQTRmed/0HlswcpEhtTx9qKT/3+w4u3h&#13;&#10;vWOqLvmSMwOaZnT69vX0/efpxxe2yJdzzkii3vqCKh8t1YbhFQ4060TX2wcUn3ysyZ4VjTd8LK/6&#13;&#10;N1gTKuwDpitD43RUirgzwqGpHJ8mIYfARERfLVarnHKCkpdNfAWKCcA6H+4kahaDkjsadnoADg8+&#13;&#10;pI6gmGrigwa3qutiAorO/H5CsPEocYhtjwTCUA0T/QrrI9FxOHqIPE9Bi+4zZz3Zp+SGDM5Zd29o&#13;&#10;OtFqU+CmoJoCMIIuljxwNoavw2jJvXVq1xLuJO5LEm2rRjJR3rGJc5/kiKTH2b3Rcs/3qerpk21+&#13;&#10;AQAA//8DAFBLAwQUAAYACAAAACEAKT9jm9wAAAALAQAADwAAAGRycy9kb3ducmV2LnhtbExPQU7D&#13;&#10;MBC8I/EHa5G4Uac9lJDGqSqiXgAJ2nKAmxMvSYq9jmK3Db9nQUL0MtrRaGZn8uXorDjiEDpPCqaT&#13;&#10;BARS7U1HjYLX3fomBRGiJqOtJ1TwhQGWxeVFrjPjT7TB4zY2gkMoZFpBG2OfSRnqFp0OE98jsfbh&#13;&#10;B6cj06GRZtAnDndWzpJkLp3uiD+0usf7FuvP7cEpWNPcVvYhvX18Llcv1ftd+fRGe6Wur8ZywbBa&#13;&#10;gIg4xn8H/Gzg/lBwscofyARhFfCa+IuszdKUafV3yCKX5xuKbwAAAP//AwBQSwECLQAUAAYACAAA&#13;&#10;ACEAWiKTo/8AAADlAQAAEwAAAAAAAAAAAAAAAAAAAAAAW0NvbnRlbnRfVHlwZXNdLnhtbFBLAQIt&#13;&#10;ABQABgAIAAAAIQCnSs841wAAAJYBAAALAAAAAAAAAAAAAAAAADABAABfcmVscy8ucmVsc1BLAQIt&#13;&#10;ABQABgAIAAAAIQCuZFdB5gEAAKwDAAAOAAAAAAAAAAAAAAAAADACAABkcnMvZTJvRG9jLnhtbFBL&#13;&#10;AQItABQABgAIAAAAIQApP2Ob3AAAAAsBAAAPAAAAAAAAAAAAAAAAAEIEAABkcnMvZG93bnJldi54&#13;&#10;bWxQSwUGAAAAAAQABADzAAAASwUAAAAA&#13;&#10;" filled="f" stroked="f">
              <v:path arrowok="t"/>
              <v:textbox style="mso-fit-shape-to-text:t" inset="0,0,0,0">
                <w:txbxContent>
                  <w:p w:rsidR="00000000" w:rsidRDefault="000F5D22">
                    <w:pPr>
                      <w:pStyle w:val="Foo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</w:instrText>
                    </w:r>
                    <w:r>
                      <w:rPr>
                        <w:rFonts w:hint="eastAsia"/>
                      </w:rPr>
                      <w:instrText xml:space="preserve">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lang w:val="en-US" w:eastAsia="en-US"/>
                      </w:rPr>
                      <w:t>179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F5D22">
      <w:r>
        <w:separator/>
      </w:r>
    </w:p>
  </w:footnote>
  <w:footnote w:type="continuationSeparator" w:id="0">
    <w:p w:rsidR="00000000" w:rsidRDefault="000F5D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00000" w:rsidRDefault="000F5D22">
    <w:pPr>
      <w:pStyle w:val="Header"/>
      <w:pBdr>
        <w:bottom w:val="none" w:sz="0" w:space="0" w:color="auto"/>
      </w:pBdr>
    </w:pPr>
    <w:r>
      <w:rPr>
        <w:noProof/>
      </w:rPr>
    </w:r>
    <w:r w:rsidR="000F5D22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856" o:spid="_x0000_s1028" type="#_x0000_t75" alt="红色封面2" style="position:absolute;left:0;text-align:left;margin-left:-90.05pt;margin-top:-92.45pt;width:595.45pt;height:841.9pt;z-index:-251657216;mso-wrap-style:square;mso-position-horizontal-relative:margin;mso-position-vertical-relative:margin">
          <v:fill o:detectmouseclick="t"/>
          <v:imagedata r:id="rId1" o:title="红色封面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B3254E25"/>
    <w:multiLevelType w:val="multilevel"/>
    <w:tmpl w:val="B3254E25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SimSun" w:eastAsia="SimSun" w:hAnsi="SimSun" w:cs="SimSu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0000024"/>
    <w:multiLevelType w:val="multilevel"/>
    <w:tmpl w:val="00000024"/>
    <w:lvl w:ilvl="0">
      <w:start w:val="1"/>
      <w:numFmt w:val="lowerLetter"/>
      <w:lvlText w:val="%1)"/>
      <w:lvlJc w:val="left"/>
      <w:pPr>
        <w:tabs>
          <w:tab w:val="num" w:pos="840"/>
        </w:tabs>
        <w:ind w:left="839" w:hanging="419"/>
      </w:pPr>
      <w:rPr>
        <w:rFonts w:ascii="SimSun" w:eastAsia="SimSun" w:hint="eastAsia"/>
        <w:b w:val="0"/>
        <w:i w:val="0"/>
        <w:sz w:val="21"/>
        <w:szCs w:val="21"/>
      </w:rPr>
    </w:lvl>
    <w:lvl w:ilvl="1">
      <w:start w:val="1"/>
      <w:numFmt w:val="decimal"/>
      <w:lvlText w:val="%2)"/>
      <w:lvlJc w:val="left"/>
      <w:pPr>
        <w:tabs>
          <w:tab w:val="num" w:pos="1260"/>
        </w:tabs>
        <w:ind w:left="1259" w:hanging="419"/>
      </w:pPr>
      <w:rPr>
        <w:rFonts w:hint="eastAsia"/>
      </w:rPr>
    </w:lvl>
    <w:lvl w:ilvl="2">
      <w:start w:val="1"/>
      <w:numFmt w:val="decimal"/>
      <w:lvlText w:val="(%3)"/>
      <w:lvlJc w:val="left"/>
      <w:pPr>
        <w:tabs>
          <w:tab w:val="num" w:pos="0"/>
        </w:tabs>
        <w:ind w:left="1679" w:hanging="420"/>
      </w:pPr>
      <w:rPr>
        <w:rFonts w:ascii="SimSun" w:eastAsia="SimSun" w:hint="eastAsia"/>
        <w:b w:val="0"/>
        <w:i w:val="0"/>
        <w:sz w:val="21"/>
        <w:szCs w:val="21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09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1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3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5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7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199" w:hanging="419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50"/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11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29A"/>
    <w:rsid w:val="00036ED5"/>
    <w:rsid w:val="000478DD"/>
    <w:rsid w:val="00051EE5"/>
    <w:rsid w:val="00054671"/>
    <w:rsid w:val="000A7187"/>
    <w:rsid w:val="000C0BEB"/>
    <w:rsid w:val="000C43BA"/>
    <w:rsid w:val="000D0461"/>
    <w:rsid w:val="000F5D22"/>
    <w:rsid w:val="000F786C"/>
    <w:rsid w:val="0011629A"/>
    <w:rsid w:val="00137DE5"/>
    <w:rsid w:val="00146AC5"/>
    <w:rsid w:val="00170969"/>
    <w:rsid w:val="001A1489"/>
    <w:rsid w:val="001A1BDB"/>
    <w:rsid w:val="001A1C2D"/>
    <w:rsid w:val="001A74A3"/>
    <w:rsid w:val="001B3A15"/>
    <w:rsid w:val="001C026B"/>
    <w:rsid w:val="001D74E9"/>
    <w:rsid w:val="00233951"/>
    <w:rsid w:val="00235AFA"/>
    <w:rsid w:val="002417F4"/>
    <w:rsid w:val="00244B19"/>
    <w:rsid w:val="00246EEB"/>
    <w:rsid w:val="00250AFC"/>
    <w:rsid w:val="0027182D"/>
    <w:rsid w:val="00293F9F"/>
    <w:rsid w:val="002B2C7E"/>
    <w:rsid w:val="002B5616"/>
    <w:rsid w:val="00333AFC"/>
    <w:rsid w:val="00343E6C"/>
    <w:rsid w:val="00362933"/>
    <w:rsid w:val="003700E2"/>
    <w:rsid w:val="00383AB7"/>
    <w:rsid w:val="00385D43"/>
    <w:rsid w:val="00396207"/>
    <w:rsid w:val="003E48DC"/>
    <w:rsid w:val="003F11A0"/>
    <w:rsid w:val="004044A5"/>
    <w:rsid w:val="00416326"/>
    <w:rsid w:val="004320E4"/>
    <w:rsid w:val="00453154"/>
    <w:rsid w:val="00474B07"/>
    <w:rsid w:val="004D0235"/>
    <w:rsid w:val="005037AE"/>
    <w:rsid w:val="00510A16"/>
    <w:rsid w:val="00510C0B"/>
    <w:rsid w:val="0051467E"/>
    <w:rsid w:val="00523748"/>
    <w:rsid w:val="00541DFB"/>
    <w:rsid w:val="00570210"/>
    <w:rsid w:val="00580594"/>
    <w:rsid w:val="00594160"/>
    <w:rsid w:val="005B73E0"/>
    <w:rsid w:val="005D23CD"/>
    <w:rsid w:val="005E0362"/>
    <w:rsid w:val="005E563F"/>
    <w:rsid w:val="005F45D6"/>
    <w:rsid w:val="006001CB"/>
    <w:rsid w:val="00622DB5"/>
    <w:rsid w:val="00691175"/>
    <w:rsid w:val="006C468F"/>
    <w:rsid w:val="006D1D00"/>
    <w:rsid w:val="006D33B6"/>
    <w:rsid w:val="006F2DB9"/>
    <w:rsid w:val="00720E4A"/>
    <w:rsid w:val="00752FED"/>
    <w:rsid w:val="00754FA0"/>
    <w:rsid w:val="007860E4"/>
    <w:rsid w:val="00790055"/>
    <w:rsid w:val="007B28BD"/>
    <w:rsid w:val="007C302D"/>
    <w:rsid w:val="007E1C77"/>
    <w:rsid w:val="008400D5"/>
    <w:rsid w:val="008535F2"/>
    <w:rsid w:val="0088038C"/>
    <w:rsid w:val="008803D3"/>
    <w:rsid w:val="008919C8"/>
    <w:rsid w:val="008F3722"/>
    <w:rsid w:val="00907665"/>
    <w:rsid w:val="00914506"/>
    <w:rsid w:val="00924D8E"/>
    <w:rsid w:val="0094705B"/>
    <w:rsid w:val="00951424"/>
    <w:rsid w:val="009737C2"/>
    <w:rsid w:val="009940EF"/>
    <w:rsid w:val="009D007B"/>
    <w:rsid w:val="009D3558"/>
    <w:rsid w:val="00A13E60"/>
    <w:rsid w:val="00A63139"/>
    <w:rsid w:val="00A756D2"/>
    <w:rsid w:val="00AA3C09"/>
    <w:rsid w:val="00AD1767"/>
    <w:rsid w:val="00AD5B9A"/>
    <w:rsid w:val="00B0469A"/>
    <w:rsid w:val="00B067C2"/>
    <w:rsid w:val="00B20017"/>
    <w:rsid w:val="00B82CC9"/>
    <w:rsid w:val="00B8605D"/>
    <w:rsid w:val="00BB4251"/>
    <w:rsid w:val="00BB7E6D"/>
    <w:rsid w:val="00C0266C"/>
    <w:rsid w:val="00C30632"/>
    <w:rsid w:val="00C358C9"/>
    <w:rsid w:val="00C44922"/>
    <w:rsid w:val="00C756DC"/>
    <w:rsid w:val="00CC3FBB"/>
    <w:rsid w:val="00CD07C3"/>
    <w:rsid w:val="00CF372F"/>
    <w:rsid w:val="00CF7621"/>
    <w:rsid w:val="00D1197C"/>
    <w:rsid w:val="00D659DB"/>
    <w:rsid w:val="00D71D1C"/>
    <w:rsid w:val="00DB5B27"/>
    <w:rsid w:val="00DC0638"/>
    <w:rsid w:val="00DC73FE"/>
    <w:rsid w:val="00DD1949"/>
    <w:rsid w:val="00DE3CF2"/>
    <w:rsid w:val="00E325D9"/>
    <w:rsid w:val="00E4701C"/>
    <w:rsid w:val="00E74D49"/>
    <w:rsid w:val="00EB0A42"/>
    <w:rsid w:val="00ED67A8"/>
    <w:rsid w:val="00EF19DB"/>
    <w:rsid w:val="00F4518E"/>
    <w:rsid w:val="00F61D7B"/>
    <w:rsid w:val="00F67137"/>
    <w:rsid w:val="00F75192"/>
    <w:rsid w:val="01F815B9"/>
    <w:rsid w:val="02856856"/>
    <w:rsid w:val="02CC03C1"/>
    <w:rsid w:val="02F84A6F"/>
    <w:rsid w:val="03316AF7"/>
    <w:rsid w:val="03641EAC"/>
    <w:rsid w:val="03E25C63"/>
    <w:rsid w:val="04527CEF"/>
    <w:rsid w:val="04637083"/>
    <w:rsid w:val="04867250"/>
    <w:rsid w:val="04C642DA"/>
    <w:rsid w:val="05A87AEA"/>
    <w:rsid w:val="069A460E"/>
    <w:rsid w:val="06FA7DC0"/>
    <w:rsid w:val="074E0483"/>
    <w:rsid w:val="07856869"/>
    <w:rsid w:val="08C7062F"/>
    <w:rsid w:val="09147547"/>
    <w:rsid w:val="0A127FFF"/>
    <w:rsid w:val="0A9A46ED"/>
    <w:rsid w:val="0AF606D8"/>
    <w:rsid w:val="0BC904C3"/>
    <w:rsid w:val="0C05319B"/>
    <w:rsid w:val="0D907813"/>
    <w:rsid w:val="0DE850FF"/>
    <w:rsid w:val="0DED56D5"/>
    <w:rsid w:val="0E3F46C6"/>
    <w:rsid w:val="0EDB6397"/>
    <w:rsid w:val="0EE3517A"/>
    <w:rsid w:val="0F2452BE"/>
    <w:rsid w:val="0FAB4929"/>
    <w:rsid w:val="109D1760"/>
    <w:rsid w:val="112C4499"/>
    <w:rsid w:val="112C44C9"/>
    <w:rsid w:val="11495A3E"/>
    <w:rsid w:val="11544168"/>
    <w:rsid w:val="1170454E"/>
    <w:rsid w:val="12783EA5"/>
    <w:rsid w:val="129A29B4"/>
    <w:rsid w:val="13124A4E"/>
    <w:rsid w:val="138A5A8A"/>
    <w:rsid w:val="139E01FC"/>
    <w:rsid w:val="13D02D59"/>
    <w:rsid w:val="13F64309"/>
    <w:rsid w:val="14816746"/>
    <w:rsid w:val="14B35BAD"/>
    <w:rsid w:val="14CD6007"/>
    <w:rsid w:val="15D96CC9"/>
    <w:rsid w:val="165F40D5"/>
    <w:rsid w:val="16815ACE"/>
    <w:rsid w:val="17185DC8"/>
    <w:rsid w:val="17543416"/>
    <w:rsid w:val="17C8219E"/>
    <w:rsid w:val="18062F97"/>
    <w:rsid w:val="183D73C3"/>
    <w:rsid w:val="18D56A50"/>
    <w:rsid w:val="19CF20CE"/>
    <w:rsid w:val="1ACF1CB6"/>
    <w:rsid w:val="1B833267"/>
    <w:rsid w:val="1B960E66"/>
    <w:rsid w:val="1BA14857"/>
    <w:rsid w:val="1C0A4BFD"/>
    <w:rsid w:val="1CB64967"/>
    <w:rsid w:val="1CD312A0"/>
    <w:rsid w:val="1D3A5A2D"/>
    <w:rsid w:val="1D962979"/>
    <w:rsid w:val="1DCB363C"/>
    <w:rsid w:val="1DE04299"/>
    <w:rsid w:val="1E362F69"/>
    <w:rsid w:val="205F50D6"/>
    <w:rsid w:val="20E15D8C"/>
    <w:rsid w:val="21284FE2"/>
    <w:rsid w:val="21B57FEB"/>
    <w:rsid w:val="22303651"/>
    <w:rsid w:val="22907894"/>
    <w:rsid w:val="235A4C63"/>
    <w:rsid w:val="24C82818"/>
    <w:rsid w:val="24E25CD6"/>
    <w:rsid w:val="26344E7F"/>
    <w:rsid w:val="272412AA"/>
    <w:rsid w:val="28AA6648"/>
    <w:rsid w:val="29834C46"/>
    <w:rsid w:val="29B94D75"/>
    <w:rsid w:val="2A492996"/>
    <w:rsid w:val="2AA838D0"/>
    <w:rsid w:val="2B2D32BA"/>
    <w:rsid w:val="2B6922DA"/>
    <w:rsid w:val="2BF640D0"/>
    <w:rsid w:val="2C56602E"/>
    <w:rsid w:val="2D0229AB"/>
    <w:rsid w:val="2D3F1678"/>
    <w:rsid w:val="2DD60F3A"/>
    <w:rsid w:val="2DF54B3C"/>
    <w:rsid w:val="2E28097E"/>
    <w:rsid w:val="2E4C4F57"/>
    <w:rsid w:val="2F8425DB"/>
    <w:rsid w:val="30971094"/>
    <w:rsid w:val="31792D31"/>
    <w:rsid w:val="31B710C4"/>
    <w:rsid w:val="31E805EA"/>
    <w:rsid w:val="32394B6C"/>
    <w:rsid w:val="32F946CF"/>
    <w:rsid w:val="332352BA"/>
    <w:rsid w:val="334612E3"/>
    <w:rsid w:val="336201C6"/>
    <w:rsid w:val="346107C5"/>
    <w:rsid w:val="346D3450"/>
    <w:rsid w:val="34BD4EB7"/>
    <w:rsid w:val="35FE10DB"/>
    <w:rsid w:val="37244897"/>
    <w:rsid w:val="379866DB"/>
    <w:rsid w:val="38941DE1"/>
    <w:rsid w:val="39947EBB"/>
    <w:rsid w:val="39ED29ED"/>
    <w:rsid w:val="39FC656C"/>
    <w:rsid w:val="3A0D4BD5"/>
    <w:rsid w:val="3A2152C6"/>
    <w:rsid w:val="3A4F0494"/>
    <w:rsid w:val="3A9B0705"/>
    <w:rsid w:val="3C177E1A"/>
    <w:rsid w:val="3C7D36CD"/>
    <w:rsid w:val="3C8B2076"/>
    <w:rsid w:val="3D92482C"/>
    <w:rsid w:val="3DCB5E55"/>
    <w:rsid w:val="3F425EB9"/>
    <w:rsid w:val="3F451EB6"/>
    <w:rsid w:val="3F596535"/>
    <w:rsid w:val="3F5E10BF"/>
    <w:rsid w:val="3FB31539"/>
    <w:rsid w:val="402456FC"/>
    <w:rsid w:val="402F7891"/>
    <w:rsid w:val="40522CE0"/>
    <w:rsid w:val="40BC004C"/>
    <w:rsid w:val="40DA0F00"/>
    <w:rsid w:val="41DB2E79"/>
    <w:rsid w:val="41E430C4"/>
    <w:rsid w:val="42005291"/>
    <w:rsid w:val="42737AD7"/>
    <w:rsid w:val="43012543"/>
    <w:rsid w:val="43482269"/>
    <w:rsid w:val="43A5600C"/>
    <w:rsid w:val="44335AC8"/>
    <w:rsid w:val="446959BF"/>
    <w:rsid w:val="44CC0940"/>
    <w:rsid w:val="455746A2"/>
    <w:rsid w:val="462459F2"/>
    <w:rsid w:val="46CD4C11"/>
    <w:rsid w:val="47130FE0"/>
    <w:rsid w:val="477E570F"/>
    <w:rsid w:val="47B377BE"/>
    <w:rsid w:val="47D87086"/>
    <w:rsid w:val="47E425C7"/>
    <w:rsid w:val="481775B5"/>
    <w:rsid w:val="48430ABD"/>
    <w:rsid w:val="48480EF6"/>
    <w:rsid w:val="488159A8"/>
    <w:rsid w:val="497A5A5A"/>
    <w:rsid w:val="49E36643"/>
    <w:rsid w:val="4AD73966"/>
    <w:rsid w:val="4B0F5755"/>
    <w:rsid w:val="4B260F30"/>
    <w:rsid w:val="4B5B2167"/>
    <w:rsid w:val="4BD33B45"/>
    <w:rsid w:val="4BE42284"/>
    <w:rsid w:val="4BF97758"/>
    <w:rsid w:val="4C3010B1"/>
    <w:rsid w:val="4C5D57E7"/>
    <w:rsid w:val="4CF24196"/>
    <w:rsid w:val="4D096101"/>
    <w:rsid w:val="4DF86EEE"/>
    <w:rsid w:val="4E26396A"/>
    <w:rsid w:val="4EB52BAF"/>
    <w:rsid w:val="4F035199"/>
    <w:rsid w:val="4F251B2C"/>
    <w:rsid w:val="4FAB6FE2"/>
    <w:rsid w:val="4FC63B64"/>
    <w:rsid w:val="5010420A"/>
    <w:rsid w:val="503D7D1F"/>
    <w:rsid w:val="519B4774"/>
    <w:rsid w:val="521F3963"/>
    <w:rsid w:val="52F7197C"/>
    <w:rsid w:val="53712EF2"/>
    <w:rsid w:val="53BC6500"/>
    <w:rsid w:val="543412CD"/>
    <w:rsid w:val="55764B91"/>
    <w:rsid w:val="56546451"/>
    <w:rsid w:val="56860D09"/>
    <w:rsid w:val="56FF7451"/>
    <w:rsid w:val="581D2C89"/>
    <w:rsid w:val="58DE29C6"/>
    <w:rsid w:val="58F43F04"/>
    <w:rsid w:val="58FB4A0C"/>
    <w:rsid w:val="591C21EE"/>
    <w:rsid w:val="59796D95"/>
    <w:rsid w:val="59C26698"/>
    <w:rsid w:val="59FD71A6"/>
    <w:rsid w:val="5A0D630A"/>
    <w:rsid w:val="5A837597"/>
    <w:rsid w:val="5AE10CDF"/>
    <w:rsid w:val="5B2C0CED"/>
    <w:rsid w:val="5BAE261C"/>
    <w:rsid w:val="5BF87B7F"/>
    <w:rsid w:val="5DAB4153"/>
    <w:rsid w:val="5DBB5973"/>
    <w:rsid w:val="5F5C191B"/>
    <w:rsid w:val="601F655C"/>
    <w:rsid w:val="60447850"/>
    <w:rsid w:val="61572C24"/>
    <w:rsid w:val="616357D6"/>
    <w:rsid w:val="623B651F"/>
    <w:rsid w:val="62DF4D1D"/>
    <w:rsid w:val="630B4B53"/>
    <w:rsid w:val="638002C8"/>
    <w:rsid w:val="638B784F"/>
    <w:rsid w:val="64321A84"/>
    <w:rsid w:val="655C61EF"/>
    <w:rsid w:val="675914E2"/>
    <w:rsid w:val="67AC01C6"/>
    <w:rsid w:val="682C7421"/>
    <w:rsid w:val="688B1172"/>
    <w:rsid w:val="68CE6429"/>
    <w:rsid w:val="69D57761"/>
    <w:rsid w:val="6B5308A7"/>
    <w:rsid w:val="6B5D1460"/>
    <w:rsid w:val="6C742001"/>
    <w:rsid w:val="6CDE09A4"/>
    <w:rsid w:val="6CE946E1"/>
    <w:rsid w:val="6EAB15F6"/>
    <w:rsid w:val="6EC041E2"/>
    <w:rsid w:val="6F28526F"/>
    <w:rsid w:val="6F7B6156"/>
    <w:rsid w:val="6FD603D9"/>
    <w:rsid w:val="70525F6D"/>
    <w:rsid w:val="71B27F05"/>
    <w:rsid w:val="728E1A41"/>
    <w:rsid w:val="74DF0DDD"/>
    <w:rsid w:val="74FA13B9"/>
    <w:rsid w:val="750C2236"/>
    <w:rsid w:val="752E18BB"/>
    <w:rsid w:val="75A27D59"/>
    <w:rsid w:val="76050709"/>
    <w:rsid w:val="7732305D"/>
    <w:rsid w:val="7779636D"/>
    <w:rsid w:val="77CE0312"/>
    <w:rsid w:val="78610A6B"/>
    <w:rsid w:val="7B0B5C1B"/>
    <w:rsid w:val="7BDA180A"/>
    <w:rsid w:val="7D6C46C9"/>
    <w:rsid w:val="7E1370B3"/>
    <w:rsid w:val="7E1A13D4"/>
    <w:rsid w:val="7ED515F7"/>
    <w:rsid w:val="7EF731F7"/>
    <w:rsid w:val="7F7264DC"/>
    <w:rsid w:val="7FF1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119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BA7A5AAB-A741-744A-AE31-F898663A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Normal Indent" w:uiPriority="99" w:unhideWhenUsed="1" w:qFormat="1"/>
    <w:lsdException w:name="header" w:qFormat="1"/>
    <w:lsdException w:name="footer" w:qFormat="1"/>
    <w:lsdException w:name="caption" w:uiPriority="35" w:qFormat="1"/>
    <w:lsdException w:name="Title" w:qFormat="1"/>
    <w:lsdException w:name="Default Paragraph Font" w:uiPriority="1" w:unhideWhenUsed="1"/>
    <w:lsdException w:name="Body Text" w:uiPriority="1" w:qFormat="1"/>
    <w:lsdException w:name="Body Text Indent" w:qFormat="1"/>
    <w:lsdException w:name="Subtitle" w:qFormat="1"/>
    <w:lsdException w:name="Date" w:qFormat="1"/>
    <w:lsdException w:name="Body Text Indent 2" w:qFormat="1"/>
    <w:lsdException w:name="Hyperlink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99" w:unhideWhenUsed="1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footer1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qFormat/>
    <w:pPr>
      <w:keepNext/>
      <w:keepLines/>
      <w:widowControl/>
      <w:numPr>
        <w:ilvl w:val="1"/>
        <w:numId w:val="1"/>
      </w:numPr>
      <w:overflowPunct w:val="0"/>
      <w:autoSpaceDE w:val="0"/>
      <w:autoSpaceDN w:val="0"/>
      <w:adjustRightInd w:val="0"/>
      <w:spacing w:beforeLines="100" w:before="100" w:afterLines="50" w:after="50"/>
      <w:jc w:val="left"/>
      <w:textAlignment w:val="baseline"/>
      <w:outlineLvl w:val="1"/>
    </w:pPr>
    <w:rPr>
      <w:rFonts w:ascii="SimHei" w:hAnsi="SimHei"/>
      <w:b/>
      <w:kern w:val="0"/>
      <w:sz w:val="28"/>
      <w:szCs w:val="20"/>
    </w:rPr>
  </w:style>
  <w:style w:type="paragraph" w:styleId="Heading3">
    <w:name w:val="heading 3"/>
    <w:basedOn w:val="Normal"/>
    <w:next w:val="Normal"/>
    <w:qFormat/>
    <w:pPr>
      <w:keepNext/>
      <w:keepLines/>
      <w:spacing w:beforeLines="50" w:before="50"/>
      <w:jc w:val="left"/>
      <w:outlineLvl w:val="2"/>
    </w:pPr>
    <w:rPr>
      <w:rFonts w:ascii="Times New Roman" w:hAnsi="Times New Roman"/>
      <w:b/>
      <w:bCs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numPr>
        <w:ilvl w:val="3"/>
        <w:numId w:val="1"/>
      </w:numPr>
      <w:spacing w:beforeLines="50" w:before="50"/>
      <w:jc w:val="left"/>
      <w:outlineLvl w:val="3"/>
    </w:pPr>
    <w:rPr>
      <w:rFonts w:ascii="Arial" w:hAnsi="Arial"/>
      <w:bCs/>
      <w:sz w:val="24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11">
    <w:name w:val="font11"/>
    <w:qFormat/>
    <w:rPr>
      <w:rFonts w:ascii="方正仿宋_GBK" w:eastAsia="方正仿宋_GBK" w:hAnsi="方正仿宋_GBK" w:cs="方正仿宋_GBK" w:hint="eastAsia"/>
      <w:color w:val="000000"/>
      <w:sz w:val="24"/>
      <w:szCs w:val="24"/>
      <w:u w:val="none"/>
    </w:rPr>
  </w:style>
  <w:style w:type="character" w:customStyle="1" w:styleId="fontstyle01">
    <w:name w:val="fontstyle01"/>
    <w:qFormat/>
    <w:rPr>
      <w:rFonts w:ascii="SimSun" w:eastAsia="SimSun" w:hAnsi="SimSun" w:hint="eastAsia"/>
      <w:color w:val="000000"/>
      <w:sz w:val="22"/>
      <w:szCs w:val="22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ntstyle31">
    <w:name w:val="fontstyle31"/>
    <w:rPr>
      <w:rFonts w:ascii="SymbolMT" w:hAnsi="SymbolMT" w:hint="default"/>
      <w:color w:val="000000"/>
      <w:sz w:val="22"/>
      <w:szCs w:val="22"/>
    </w:rPr>
  </w:style>
  <w:style w:type="character" w:customStyle="1" w:styleId="BalloonTextChar">
    <w:name w:val="Balloon Text Char"/>
    <w:link w:val="BalloonText"/>
    <w:qFormat/>
    <w:rPr>
      <w:rFonts w:ascii="Calibri" w:hAnsi="Calibri"/>
      <w:kern w:val="2"/>
      <w:sz w:val="18"/>
      <w:szCs w:val="18"/>
    </w:rPr>
  </w:style>
  <w:style w:type="character" w:customStyle="1" w:styleId="1">
    <w:name w:val="批注引用1"/>
    <w:qFormat/>
    <w:rPr>
      <w:sz w:val="21"/>
      <w:szCs w:val="21"/>
    </w:rPr>
  </w:style>
  <w:style w:type="character" w:customStyle="1" w:styleId="fontstyle21">
    <w:name w:val="fontstyle21"/>
    <w:rPr>
      <w:rFonts w:ascii="TimesNewRomanPSMT" w:hAnsi="TimesNewRomanPSMT" w:hint="default"/>
      <w:color w:val="000000"/>
      <w:sz w:val="22"/>
      <w:szCs w:val="22"/>
    </w:rPr>
  </w:style>
  <w:style w:type="character" w:styleId="Strong">
    <w:name w:val="Strong"/>
    <w:qFormat/>
    <w:rPr>
      <w:b/>
    </w:rPr>
  </w:style>
  <w:style w:type="paragraph" w:styleId="Caption">
    <w:name w:val="caption"/>
    <w:basedOn w:val="10"/>
    <w:next w:val="10"/>
    <w:uiPriority w:val="35"/>
    <w:qFormat/>
    <w:pPr>
      <w:ind w:leftChars="0" w:left="0"/>
      <w:jc w:val="center"/>
    </w:pPr>
    <w:rPr>
      <w:rFonts w:ascii="Cambria" w:hAnsi="Cambria"/>
      <w:sz w:val="21"/>
      <w:szCs w:val="28"/>
    </w:rPr>
  </w:style>
  <w:style w:type="paragraph" w:styleId="NormalIndent">
    <w:name w:val="Normal Indent"/>
    <w:basedOn w:val="Normal"/>
    <w:next w:val="Normal"/>
    <w:uiPriority w:val="99"/>
    <w:unhideWhenUsed/>
    <w:qFormat/>
    <w:pPr>
      <w:ind w:firstLineChars="200" w:firstLine="420"/>
    </w:pPr>
  </w:style>
  <w:style w:type="paragraph" w:styleId="BodyTextIndent">
    <w:name w:val="Body Text Indent"/>
    <w:basedOn w:val="Normal"/>
    <w:qFormat/>
    <w:pPr>
      <w:ind w:firstLineChars="192" w:firstLine="538"/>
    </w:pPr>
    <w:rPr>
      <w:sz w:val="28"/>
    </w:rPr>
  </w:style>
  <w:style w:type="paragraph" w:customStyle="1" w:styleId="11">
    <w:name w:val="列出段落1"/>
    <w:basedOn w:val="Normal"/>
    <w:qFormat/>
    <w:pPr>
      <w:ind w:firstLineChars="200" w:firstLine="420"/>
    </w:pPr>
    <w:rPr>
      <w:szCs w:val="21"/>
    </w:rPr>
  </w:style>
  <w:style w:type="paragraph" w:customStyle="1" w:styleId="a">
    <w:name w:val="一级条标题"/>
    <w:basedOn w:val="a0"/>
    <w:next w:val="a1"/>
    <w:qFormat/>
    <w:pPr>
      <w:spacing w:before="156" w:after="156"/>
      <w:ind w:left="1560"/>
      <w:outlineLvl w:val="2"/>
    </w:pPr>
    <w:rPr>
      <w:sz w:val="20"/>
    </w:rPr>
  </w:style>
  <w:style w:type="paragraph" w:customStyle="1" w:styleId="-R">
    <w:name w:val="三级标题-R"/>
    <w:basedOn w:val="Normal"/>
    <w:qFormat/>
    <w:pPr>
      <w:widowControl/>
      <w:numPr>
        <w:ilvl w:val="2"/>
        <w:numId w:val="1"/>
      </w:numPr>
      <w:spacing w:line="560" w:lineRule="exact"/>
    </w:pPr>
    <w:rPr>
      <w:rFonts w:eastAsia="方正黑体_GBK"/>
      <w:b/>
      <w:kern w:val="0"/>
    </w:rPr>
  </w:style>
  <w:style w:type="paragraph" w:styleId="TOC1">
    <w:name w:val="toc 1"/>
    <w:basedOn w:val="Normal"/>
    <w:next w:val="Normal"/>
    <w:uiPriority w:val="39"/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  <w:rPr>
      <w:szCs w:val="20"/>
    </w:rPr>
  </w:style>
  <w:style w:type="paragraph" w:customStyle="1" w:styleId="footer1">
    <w:name w:val="footer1"/>
    <w:basedOn w:val="Normal"/>
    <w:qFormat/>
    <w:pPr>
      <w:snapToGrid w:val="0"/>
      <w:jc w:val="left"/>
    </w:pPr>
    <w:rPr>
      <w:sz w:val="18"/>
    </w:rPr>
  </w:style>
  <w:style w:type="paragraph" w:customStyle="1" w:styleId="10">
    <w:name w:val="正文1"/>
    <w:qFormat/>
    <w:pPr>
      <w:spacing w:line="360" w:lineRule="auto"/>
      <w:ind w:leftChars="200" w:left="200"/>
    </w:pPr>
    <w:rPr>
      <w:sz w:val="24"/>
      <w:lang w:eastAsia="zh-CN"/>
    </w:rPr>
  </w:style>
  <w:style w:type="paragraph" w:styleId="BodyText">
    <w:name w:val="Body Text"/>
    <w:basedOn w:val="Normal"/>
    <w:uiPriority w:val="1"/>
    <w:qFormat/>
    <w:rPr>
      <w:rFonts w:ascii="Microsoft YaHei" w:eastAsia="Microsoft YaHei" w:hAnsi="Microsoft YaHei" w:cs="Microsoft YaHei"/>
      <w:sz w:val="24"/>
      <w:szCs w:val="24"/>
      <w:lang w:eastAsia="en-US" w:bidi="en-US"/>
    </w:rPr>
  </w:style>
  <w:style w:type="paragraph" w:customStyle="1" w:styleId="WPSOffice1">
    <w:name w:val="WPSOffice手动目录 1"/>
    <w:rPr>
      <w:lang w:eastAsia="zh-CN"/>
    </w:rPr>
  </w:style>
  <w:style w:type="paragraph" w:customStyle="1" w:styleId="a0">
    <w:name w:val="章标题"/>
    <w:next w:val="a1"/>
    <w:qFormat/>
    <w:pPr>
      <w:spacing w:beforeLines="50" w:afterLines="50"/>
      <w:ind w:left="210"/>
      <w:jc w:val="both"/>
      <w:outlineLvl w:val="1"/>
    </w:pPr>
    <w:rPr>
      <w:rFonts w:ascii="SimHei" w:eastAsia="SimHei"/>
      <w:sz w:val="21"/>
      <w:lang w:eastAsia="zh-CN"/>
    </w:rPr>
  </w:style>
  <w:style w:type="paragraph" w:customStyle="1" w:styleId="WPSOffice3">
    <w:name w:val="WPSOffice手动目录 3"/>
    <w:pPr>
      <w:ind w:leftChars="400"/>
    </w:pPr>
    <w:rPr>
      <w:lang w:eastAsia="zh-CN"/>
    </w:rPr>
  </w:style>
  <w:style w:type="paragraph" w:styleId="TOC3">
    <w:name w:val="toc 3"/>
    <w:basedOn w:val="Normal"/>
    <w:next w:val="Normal"/>
    <w:pPr>
      <w:ind w:leftChars="400" w:left="840"/>
    </w:pPr>
  </w:style>
  <w:style w:type="paragraph" w:styleId="NoSpacing">
    <w:name w:val="No Spacing"/>
    <w:uiPriority w:val="1"/>
    <w:qFormat/>
    <w:pPr>
      <w:widowControl w:val="0"/>
      <w:jc w:val="both"/>
    </w:pPr>
    <w:rPr>
      <w:rFonts w:ascii="DengXian" w:eastAsia="DengXian" w:hAnsi="DengXian"/>
      <w:kern w:val="2"/>
      <w:sz w:val="21"/>
      <w:szCs w:val="22"/>
      <w:lang w:eastAsia="zh-CN"/>
    </w:rPr>
  </w:style>
  <w:style w:type="paragraph" w:customStyle="1" w:styleId="a2">
    <w:name w:val="简单回函地址"/>
    <w:basedOn w:val="Normal"/>
    <w:rPr>
      <w:szCs w:val="24"/>
    </w:rPr>
  </w:style>
  <w:style w:type="paragraph" w:customStyle="1" w:styleId="1Char">
    <w:name w:val="样式1正文（首行缩进两字） Char"/>
    <w:basedOn w:val="Normal"/>
    <w:next w:val="Normal"/>
    <w:qFormat/>
    <w:pPr>
      <w:tabs>
        <w:tab w:val="left" w:pos="420"/>
      </w:tabs>
      <w:snapToGrid w:val="0"/>
      <w:spacing w:line="340" w:lineRule="exact"/>
      <w:ind w:firstLine="420"/>
    </w:pPr>
    <w:rPr>
      <w:rFonts w:cs="SimSun"/>
      <w:szCs w:val="21"/>
    </w:rPr>
  </w:style>
  <w:style w:type="paragraph" w:customStyle="1" w:styleId="a1">
    <w:name w:val="段"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SimSun"/>
      <w:sz w:val="21"/>
      <w:lang w:eastAsia="zh-CN"/>
    </w:rPr>
  </w:style>
  <w:style w:type="paragraph" w:styleId="TOC2">
    <w:name w:val="toc 2"/>
    <w:basedOn w:val="Normal"/>
    <w:next w:val="Normal"/>
    <w:uiPriority w:val="39"/>
    <w:pPr>
      <w:ind w:leftChars="200" w:left="420"/>
    </w:pPr>
  </w:style>
  <w:style w:type="paragraph" w:styleId="PlainText">
    <w:name w:val="Plain Text"/>
    <w:basedOn w:val="Normal"/>
    <w:qFormat/>
    <w:rPr>
      <w:rFonts w:ascii="SimSun" w:hAnsi="Courier New"/>
      <w:kern w:val="0"/>
      <w:sz w:val="20"/>
      <w:szCs w:val="20"/>
    </w:rPr>
  </w:style>
  <w:style w:type="paragraph" w:customStyle="1" w:styleId="a3">
    <w:name w:val="我的正文"/>
    <w:basedOn w:val="Normal"/>
    <w:qFormat/>
    <w:pPr>
      <w:spacing w:line="360" w:lineRule="auto"/>
      <w:ind w:firstLineChars="200" w:firstLine="200"/>
    </w:pPr>
    <w:rPr>
      <w:sz w:val="24"/>
    </w:rPr>
  </w:style>
  <w:style w:type="paragraph" w:customStyle="1" w:styleId="Aufzhlung-Kontrollkstchen">
    <w:name w:val="Aufzählung-Kontrollkästchen"/>
    <w:basedOn w:val="Normal"/>
    <w:qFormat/>
    <w:pPr>
      <w:keepNext/>
      <w:keepLines/>
      <w:widowControl/>
      <w:tabs>
        <w:tab w:val="left" w:pos="851"/>
        <w:tab w:val="left" w:leader="dot" w:pos="7655"/>
        <w:tab w:val="left" w:pos="7938"/>
      </w:tabs>
      <w:wordWrap w:val="0"/>
      <w:spacing w:line="360" w:lineRule="atLeast"/>
      <w:jc w:val="left"/>
    </w:pPr>
    <w:rPr>
      <w:rFonts w:ascii="Arial" w:hAnsi="Arial" w:cs="Arial"/>
      <w:sz w:val="22"/>
      <w:lang w:val="en-GB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BalloonText">
    <w:name w:val="Balloon Text"/>
    <w:basedOn w:val="Normal"/>
    <w:link w:val="BalloonTextChar"/>
    <w:qFormat/>
    <w:rPr>
      <w:sz w:val="18"/>
      <w:szCs w:val="18"/>
    </w:rPr>
  </w:style>
  <w:style w:type="paragraph" w:styleId="Date">
    <w:name w:val="Date"/>
    <w:basedOn w:val="Normal"/>
    <w:next w:val="Normal"/>
    <w:qFormat/>
  </w:style>
  <w:style w:type="paragraph" w:customStyle="1" w:styleId="a4">
    <w:name w:val="字母编号列项（一级）"/>
    <w:qFormat/>
    <w:pPr>
      <w:numPr>
        <w:numId w:val="2"/>
      </w:numPr>
      <w:tabs>
        <w:tab w:val="left" w:pos="840"/>
      </w:tabs>
      <w:jc w:val="both"/>
    </w:pPr>
    <w:rPr>
      <w:rFonts w:ascii="SimSun"/>
      <w:sz w:val="21"/>
      <w:lang w:eastAsia="zh-CN"/>
    </w:rPr>
  </w:style>
  <w:style w:type="paragraph" w:customStyle="1" w:styleId="p0">
    <w:name w:val="p0"/>
    <w:basedOn w:val="Normal"/>
    <w:qFormat/>
    <w:pPr>
      <w:widowControl/>
    </w:pPr>
    <w:rPr>
      <w:rFonts w:ascii="Times New Roman" w:hAnsi="Times New Roman"/>
      <w:kern w:val="0"/>
      <w:szCs w:val="21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Style3">
    <w:name w:val="_Style 3"/>
    <w:basedOn w:val="Normal"/>
    <w:qFormat/>
    <w:pPr>
      <w:ind w:firstLineChars="200" w:firstLine="420"/>
    </w:pPr>
    <w:rPr>
      <w:rFonts w:ascii="方正仿宋_GBK" w:eastAsia="方正仿宋_GBK" w:hAnsi="SimSun" w:cs="SimSun"/>
      <w:szCs w:val="21"/>
    </w:rPr>
  </w:style>
  <w:style w:type="paragraph" w:customStyle="1" w:styleId="12">
    <w:name w:val="样式1"/>
    <w:basedOn w:val="Normal"/>
    <w:qFormat/>
    <w:pPr>
      <w:snapToGrid w:val="0"/>
      <w:spacing w:line="360" w:lineRule="auto"/>
      <w:ind w:firstLineChars="200" w:firstLine="480"/>
    </w:pPr>
    <w:rPr>
      <w:rFonts w:ascii="Times New Roman" w:eastAsia="方正仿宋_GBK" w:hAnsi="Times New Roman"/>
      <w:kern w:val="0"/>
      <w:sz w:val="24"/>
      <w:szCs w:val="21"/>
      <w:lang w:val="zh-CN"/>
    </w:rPr>
  </w:style>
  <w:style w:type="paragraph" w:customStyle="1" w:styleId="a5">
    <w:name w:val="投标正文"/>
    <w:basedOn w:val="Normal"/>
    <w:qFormat/>
    <w:pPr>
      <w:autoSpaceDE w:val="0"/>
      <w:autoSpaceDN w:val="0"/>
      <w:adjustRightInd w:val="0"/>
      <w:spacing w:beforeLines="50" w:afterLines="50" w:line="360" w:lineRule="auto"/>
      <w:ind w:firstLineChars="200" w:firstLine="200"/>
    </w:pPr>
    <w:rPr>
      <w:rFonts w:ascii="Arial" w:hAnsi="Arial"/>
      <w:sz w:val="24"/>
      <w:szCs w:val="24"/>
      <w:shd w:val="clear" w:color="auto" w:fill="FFFFFF"/>
    </w:rPr>
  </w:style>
  <w:style w:type="paragraph" w:styleId="NormalWeb">
    <w:name w:val="Normal (Web)"/>
    <w:basedOn w:val="Normal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jc w:val="left"/>
    </w:pPr>
    <w:rPr>
      <w:rFonts w:ascii="方正仿宋_GBK" w:eastAsia="方正仿宋_GBK" w:hAnsi="方正仿宋_GBK" w:cs="方正仿宋_GBK"/>
      <w:kern w:val="0"/>
      <w:sz w:val="22"/>
      <w:lang w:eastAsia="en-US"/>
    </w:rPr>
  </w:style>
  <w:style w:type="paragraph" w:customStyle="1" w:styleId="WPSOffice2">
    <w:name w:val="WPSOffice手动目录 2"/>
    <w:pPr>
      <w:ind w:leftChars="200"/>
    </w:pPr>
    <w:rPr>
      <w:lang w:eastAsia="zh-CN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paragraph" w:customStyle="1" w:styleId="13">
    <w:name w:val="投标正文1"/>
    <w:basedOn w:val="Normal"/>
    <w:qFormat/>
    <w:pPr>
      <w:spacing w:beforeLines="50" w:before="50" w:afterLines="50" w:after="50" w:line="300" w:lineRule="auto"/>
      <w:ind w:firstLine="482"/>
    </w:pPr>
    <w:rPr>
      <w:rFonts w:ascii="Arial" w:hAnsi="Arial"/>
      <w:sz w:val="24"/>
      <w:szCs w:val="28"/>
    </w:rPr>
  </w:style>
  <w:style w:type="paragraph" w:customStyle="1" w:styleId="14">
    <w:name w:val="段落1"/>
    <w:basedOn w:val="Normal"/>
    <w:qFormat/>
    <w:pPr>
      <w:tabs>
        <w:tab w:val="left" w:pos="851"/>
      </w:tabs>
      <w:spacing w:line="360" w:lineRule="atLeast"/>
      <w:ind w:leftChars="129" w:left="129" w:firstLineChars="193" w:firstLine="193"/>
      <w:jc w:val="left"/>
    </w:pPr>
    <w:rPr>
      <w:rFonts w:ascii="Arial" w:hAnsi="Arial" w:cs="SimSun"/>
      <w:sz w:val="22"/>
    </w:rPr>
  </w:style>
  <w:style w:type="table" w:styleId="TableGrid">
    <w:name w:val="Table Grid"/>
    <w:basedOn w:val="TableNormal"/>
    <w:uiPriority w:val="99"/>
    <w:unhideWhenUsed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28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1286</Characters>
  <Application>Microsoft Office Word</Application>
  <DocSecurity>0</DocSecurity>
  <Lines>10</Lines>
  <Paragraphs>3</Paragraphs>
  <ScaleCrop>false</ScaleCrop>
  <Company>Microsoft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Muhammad Shamaas</cp:lastModifiedBy>
  <cp:revision>2</cp:revision>
  <cp:lastPrinted>2020-08-04T12:53:00Z</cp:lastPrinted>
  <dcterms:created xsi:type="dcterms:W3CDTF">2020-12-20T06:29:00Z</dcterms:created>
  <dcterms:modified xsi:type="dcterms:W3CDTF">2020-12-20T06:29:00Z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