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AF3DE" w14:textId="77777777" w:rsidR="002E0682" w:rsidRPr="009836C3" w:rsidRDefault="002E0682" w:rsidP="009836C3">
      <w:pPr>
        <w:shd w:val="clear" w:color="auto" w:fill="FFFFFF" w:themeFill="background1"/>
        <w:tabs>
          <w:tab w:val="left" w:pos="0"/>
        </w:tabs>
        <w:ind w:left="5040"/>
      </w:pPr>
      <w:r>
        <w:t xml:space="preserve">IN THE COUNTY COURT OF THE 11TH JUDICIAL CIRCUIT IN AND FOR </w:t>
      </w:r>
    </w:p>
    <w:p w14:paraId="6A4A2FB0" w14:textId="77777777" w:rsidR="002E0682" w:rsidRDefault="00FC477A" w:rsidP="009836C3">
      <w:pPr>
        <w:shd w:val="clear" w:color="auto" w:fill="FFFFFF" w:themeFill="background1"/>
        <w:tabs>
          <w:tab w:val="left" w:pos="0"/>
        </w:tabs>
        <w:ind w:left="5040"/>
      </w:pPr>
      <w:r>
        <w:t xml:space="preserve">DUVAL</w:t>
      </w:r>
      <w:r w:rsidR="009836C3">
        <w:t xml:space="preserve"> </w:t>
      </w:r>
      <w:r w:rsidR="002E0682" w:rsidRPr="009836C3">
        <w:t>COUNTY, FLORIDA</w:t>
      </w:r>
    </w:p>
    <w:p w14:paraId="3B145AF0" w14:textId="77777777" w:rsidR="009836C3" w:rsidRDefault="009836C3" w:rsidP="009836C3">
      <w:pPr>
        <w:shd w:val="clear" w:color="auto" w:fill="FFFFFF" w:themeFill="background1"/>
        <w:ind w:left="5040"/>
        <w:jc w:val="both"/>
      </w:pPr>
    </w:p>
    <w:p w14:paraId="16F18786" w14:textId="77777777" w:rsidR="009836C3" w:rsidRPr="009836C3" w:rsidRDefault="009836C3" w:rsidP="009836C3">
      <w:pPr>
        <w:shd w:val="clear" w:color="auto" w:fill="FFFFFF" w:themeFill="background1"/>
        <w:ind w:left="5040"/>
        <w:jc w:val="both"/>
      </w:pPr>
      <w:r>
        <w:t xml:space="preserve">CASE NO.: 16-2025-CC-012495-AXXX-MA</w:t>
      </w:r>
    </w:p>
    <w:p w14:paraId="4AE8ED74" w14:textId="77777777" w:rsidR="00DF6FCD" w:rsidRPr="009836C3" w:rsidRDefault="0020258B" w:rsidP="009836C3">
      <w:pPr>
        <w:shd w:val="clear" w:color="auto" w:fill="FFFFFF" w:themeFill="background1"/>
        <w:jc w:val="both"/>
      </w:pPr>
      <w:r>
        <w:t xml:space="preserve">MARIE MOLEUS,</w:t>
      </w:r>
      <w:r>
        <w:tab/>
      </w:r>
      <w:r>
        <w:tab/>
      </w:r>
      <w:r>
        <w:tab/>
      </w:r>
      <w:r>
        <w:tab/>
        <w:t xml:space="preserve"> </w:t>
      </w:r>
      <w:r>
        <w:tab/>
      </w:r>
    </w:p>
    <w:p w14:paraId="64EA69CF" w14:textId="77777777" w:rsidR="009836C3" w:rsidRDefault="009836C3" w:rsidP="009836C3">
      <w:pPr>
        <w:shd w:val="clear" w:color="auto" w:fill="FFFFFF" w:themeFill="background1"/>
        <w:jc w:val="both"/>
      </w:pPr>
    </w:p>
    <w:p w14:paraId="0FEA0EE8" w14:textId="77777777" w:rsidR="002E0682" w:rsidRPr="009836C3" w:rsidRDefault="002E0682" w:rsidP="009836C3">
      <w:pPr>
        <w:shd w:val="clear" w:color="auto" w:fill="FFFFFF" w:themeFill="background1"/>
        <w:jc w:val="both"/>
        <w:rPr>
          <w:b/>
          <w:u w:val="single"/>
        </w:rPr>
      </w:pPr>
      <w:r w:rsidRPr="009836C3">
        <w:tab/>
        <w:t>Plaintiff,</w:t>
      </w:r>
      <w:r w:rsidRPr="009836C3">
        <w:tab/>
      </w:r>
      <w:r w:rsidRPr="009836C3">
        <w:tab/>
      </w:r>
      <w:r w:rsidRPr="009836C3">
        <w:tab/>
      </w:r>
      <w:r w:rsidRPr="009836C3">
        <w:tab/>
      </w:r>
      <w:r w:rsidRPr="009836C3">
        <w:tab/>
      </w:r>
    </w:p>
    <w:p w14:paraId="214A928E" w14:textId="77777777" w:rsidR="002E0682" w:rsidRPr="009836C3" w:rsidRDefault="002E0682" w:rsidP="009836C3">
      <w:pPr>
        <w:shd w:val="clear" w:color="auto" w:fill="FFFFFF" w:themeFill="background1"/>
        <w:jc w:val="both"/>
        <w:rPr>
          <w:b/>
          <w:u w:val="single"/>
        </w:rPr>
      </w:pPr>
      <w:r w:rsidRPr="009836C3">
        <w:t xml:space="preserve">vs.</w:t>
      </w:r>
      <w:r w:rsidRPr="009836C3">
        <w:tab/>
      </w:r>
      <w:r w:rsidRPr="009836C3">
        <w:tab/>
      </w:r>
      <w:r w:rsidRPr="009836C3">
        <w:tab/>
      </w:r>
      <w:r w:rsidRPr="009836C3">
        <w:tab/>
      </w:r>
      <w:r w:rsidRPr="009836C3">
        <w:tab/>
      </w:r>
      <w:r w:rsidRPr="009836C3">
        <w:tab/>
      </w:r>
      <w:r w:rsidRPr="009836C3">
        <w:tab/>
      </w:r>
      <w:r w:rsidRPr="009836C3">
        <w:tab/>
      </w:r>
      <w:r w:rsidRPr="009836C3">
        <w:tab/>
      </w:r>
      <w:r w:rsidRPr="009836C3">
        <w:tab/>
      </w:r>
      <w:r w:rsidRPr="009836C3">
        <w:tab/>
      </w:r>
      <w:r w:rsidRPr="009836C3">
        <w:tab/>
      </w:r>
      <w:r w:rsidRPr="009836C3">
        <w:tab/>
        <w:t xml:space="preserve"> </w:t>
      </w:r>
    </w:p>
    <w:p w14:paraId="44E514DF" w14:textId="77777777" w:rsidR="002E0682" w:rsidRPr="009836C3" w:rsidRDefault="002E0682" w:rsidP="009836C3">
      <w:pPr>
        <w:shd w:val="clear" w:color="auto" w:fill="FFFFFF" w:themeFill="background1"/>
        <w:jc w:val="both"/>
      </w:pPr>
    </w:p>
    <w:p w14:paraId="235E8D33" w14:textId="77777777" w:rsidR="002E0682" w:rsidRPr="009836C3" w:rsidRDefault="0020258B" w:rsidP="009836C3">
      <w:pPr>
        <w:shd w:val="clear" w:color="auto" w:fill="FFFFFF" w:themeFill="background1"/>
      </w:pPr>
      <w:r>
        <w:t xml:space="preserve">SLIDE INSURANCE COMPANY, </w:t>
      </w:r>
    </w:p>
    <w:p w14:paraId="7D5B9D5D" w14:textId="77777777" w:rsidR="002E0682" w:rsidRPr="009836C3" w:rsidRDefault="002E0682" w:rsidP="009836C3">
      <w:pPr>
        <w:shd w:val="clear" w:color="auto" w:fill="FFFFFF" w:themeFill="background1"/>
        <w:jc w:val="both"/>
      </w:pPr>
    </w:p>
    <w:p w14:paraId="3EB0EFB2" w14:textId="77777777" w:rsidR="002E0682" w:rsidRPr="009836C3" w:rsidRDefault="002E0682" w:rsidP="009836C3">
      <w:pPr>
        <w:shd w:val="clear" w:color="auto" w:fill="FFFFFF" w:themeFill="background1"/>
        <w:jc w:val="both"/>
      </w:pPr>
      <w:r w:rsidRPr="009836C3">
        <w:tab/>
        <w:t>Defendant.</w:t>
      </w:r>
    </w:p>
    <w:p w14:paraId="24E863B2" w14:textId="77777777" w:rsidR="002E0682" w:rsidRPr="009836C3" w:rsidRDefault="002E0682" w:rsidP="009836C3">
      <w:pPr>
        <w:shd w:val="clear" w:color="auto" w:fill="FFFFFF" w:themeFill="background1"/>
        <w:jc w:val="both"/>
      </w:pPr>
      <w:r w:rsidRPr="009836C3">
        <w:t>__________________________________/</w:t>
      </w:r>
    </w:p>
    <w:p w14:paraId="024569F3" w14:textId="77777777" w:rsidR="002E0682" w:rsidRPr="009836C3" w:rsidRDefault="002E0682" w:rsidP="009836C3">
      <w:pPr>
        <w:shd w:val="clear" w:color="auto" w:fill="FFFFFF" w:themeFill="background1"/>
        <w:jc w:val="center"/>
        <w:rPr>
          <w:b/>
          <w:bCs/>
        </w:rPr>
      </w:pPr>
    </w:p>
    <w:p w14:paraId="3BFE514A" w14:textId="77777777" w:rsidR="002E0682" w:rsidRPr="009836C3" w:rsidRDefault="002E0682" w:rsidP="009836C3">
      <w:pPr>
        <w:shd w:val="clear" w:color="auto" w:fill="FFFFFF" w:themeFill="background1"/>
        <w:spacing w:line="480" w:lineRule="auto"/>
        <w:contextualSpacing/>
        <w:jc w:val="center"/>
        <w:rPr>
          <w:b/>
          <w:bCs/>
          <w:u w:val="single"/>
        </w:rPr>
      </w:pPr>
      <w:r w:rsidRPr="009836C3">
        <w:rPr>
          <w:b/>
          <w:bCs/>
          <w:u w:val="single"/>
        </w:rPr>
        <w:t>PLAINTIFF</w:t>
      </w:r>
      <w:r w:rsidR="00DF6FCD" w:rsidRPr="009836C3">
        <w:rPr>
          <w:b/>
          <w:bCs/>
          <w:u w:val="single"/>
        </w:rPr>
        <w:t>’</w:t>
      </w:r>
      <w:r w:rsidR="00565F95" w:rsidRPr="009836C3">
        <w:rPr>
          <w:b/>
          <w:bCs/>
          <w:u w:val="single"/>
        </w:rPr>
        <w:t>S</w:t>
      </w:r>
      <w:r w:rsidRPr="009836C3">
        <w:rPr>
          <w:b/>
          <w:bCs/>
          <w:u w:val="single"/>
        </w:rPr>
        <w:t xml:space="preserve"> MOTION FOR DEFAULT</w:t>
      </w:r>
    </w:p>
    <w:p w14:paraId="26815EB3" w14:textId="77777777" w:rsidR="002E0682" w:rsidRPr="009836C3" w:rsidRDefault="002E0682" w:rsidP="009836C3">
      <w:pPr>
        <w:shd w:val="clear" w:color="auto" w:fill="FFFFFF" w:themeFill="background1"/>
        <w:spacing w:line="480" w:lineRule="auto"/>
        <w:ind w:firstLine="720"/>
        <w:contextualSpacing/>
        <w:jc w:val="both"/>
      </w:pPr>
      <w:r>
        <w:t xml:space="preserve">COMES NOW the Plaintiff, MARIE MOLEUS (hereinafter “Plaintiff”), by and through undersigned counsel, and pursuant to Rule 1.500(a) of the Florida Rules of Civil Procedure, and files this Motion for Default, and in support thereof would state as follows:</w:t>
      </w:r>
    </w:p>
    <w:p w14:paraId="4C1AC933" w14:textId="77777777" w:rsidR="002E0682" w:rsidRPr="009836C3" w:rsidRDefault="002E0682" w:rsidP="009836C3">
      <w:pPr>
        <w:pStyle w:val="ListParagraph"/>
        <w:numPr>
          <w:ilvl w:val="0"/>
          <w:numId w:val="1"/>
        </w:numPr>
        <w:shd w:val="clear" w:color="auto" w:fill="FFFFFF" w:themeFill="background1"/>
        <w:spacing w:line="480" w:lineRule="auto"/>
        <w:ind w:left="0" w:firstLine="720"/>
        <w:jc w:val="both"/>
      </w:pPr>
      <w:r>
        <w:t xml:space="preserve">On September 23, 2018, the Plaintiff commenced the above-styled cause of action against the Defendant, SLIDE INSURANCE COMPANY (hereinafter “Defendant”).</w:t>
      </w:r>
    </w:p>
    <w:p w14:paraId="3AA59101" w14:textId="77777777" w:rsidR="002E0682" w:rsidRPr="009836C3" w:rsidRDefault="002E0682" w:rsidP="009836C3">
      <w:pPr>
        <w:pStyle w:val="ListParagraph"/>
        <w:numPr>
          <w:ilvl w:val="0"/>
          <w:numId w:val="1"/>
        </w:numPr>
        <w:shd w:val="clear" w:color="auto" w:fill="FFFFFF" w:themeFill="background1"/>
        <w:spacing w:line="480" w:lineRule="auto"/>
        <w:ind w:left="0" w:firstLine="720"/>
        <w:jc w:val="both"/>
      </w:pPr>
      <w:r w:rsidRPr="009836C3">
        <w:t xml:space="preserve">On </w:t>
      </w:r>
      <w:r w:rsidR="009836C3" w:rsidRPr="0020258B">
        <w:rPr>
          <w:highlight w:val="yellow"/>
        </w:rPr>
        <w:t>October 17, 201</w:t>
      </w:r>
      <w:r w:rsidR="00BC0027">
        <w:rPr>
          <w:highlight w:val="yellow"/>
        </w:rPr>
        <w:t>8</w:t>
      </w:r>
      <w:r w:rsidRPr="009836C3">
        <w:t>, the Chief Financial Officer of the State of Florida (hereinafter “Chief Financial Officer”) accepted service of process on behalf of the Defendant.</w:t>
      </w:r>
      <w:r w:rsidR="00E8221D" w:rsidRPr="009836C3">
        <w:t xml:space="preserve">  See Notice of Service of Process attached hereto as Exhibit “A.”</w:t>
      </w:r>
    </w:p>
    <w:p w14:paraId="7CB8A748" w14:textId="77777777" w:rsidR="002E0682" w:rsidRPr="009836C3" w:rsidRDefault="002E0682" w:rsidP="009836C3">
      <w:pPr>
        <w:pStyle w:val="ListParagraph"/>
        <w:numPr>
          <w:ilvl w:val="0"/>
          <w:numId w:val="1"/>
        </w:numPr>
        <w:shd w:val="clear" w:color="auto" w:fill="FFFFFF" w:themeFill="background1"/>
        <w:spacing w:line="480" w:lineRule="auto"/>
        <w:ind w:left="0" w:firstLine="720"/>
        <w:jc w:val="both"/>
      </w:pPr>
      <w:r w:rsidRPr="009836C3">
        <w:t xml:space="preserve">On </w:t>
      </w:r>
      <w:r w:rsidR="009836C3" w:rsidRPr="0020258B">
        <w:rPr>
          <w:highlight w:val="yellow"/>
        </w:rPr>
        <w:t>October 19, 201</w:t>
      </w:r>
      <w:r w:rsidR="00BC0027">
        <w:rPr>
          <w:highlight w:val="yellow"/>
        </w:rPr>
        <w:t>8</w:t>
      </w:r>
      <w:r w:rsidR="00E8221D" w:rsidRPr="009836C3">
        <w:t xml:space="preserve">, the Chief Financial Officer forwarded service by electronic delivery to the Defendant’s designated agent, </w:t>
      </w:r>
      <w:r w:rsidR="009836C3" w:rsidRPr="0020258B">
        <w:rPr>
          <w:highlight w:val="yellow"/>
        </w:rPr>
        <w:t>Sean Downes</w:t>
      </w:r>
      <w:r w:rsidR="00E8221D" w:rsidRPr="009836C3">
        <w:t>.</w:t>
      </w:r>
      <w:r w:rsidR="009836C3">
        <w:t xml:space="preserve"> See again Exhibit “A”.</w:t>
      </w:r>
    </w:p>
    <w:p w14:paraId="52F65FC7" w14:textId="77777777" w:rsidR="00E8221D" w:rsidRDefault="00E8221D" w:rsidP="009836C3">
      <w:pPr>
        <w:pStyle w:val="ListParagraph"/>
        <w:numPr>
          <w:ilvl w:val="0"/>
          <w:numId w:val="1"/>
        </w:numPr>
        <w:shd w:val="clear" w:color="auto" w:fill="FFFFFF" w:themeFill="background1"/>
        <w:spacing w:line="480" w:lineRule="auto"/>
        <w:ind w:left="0" w:firstLine="720"/>
        <w:jc w:val="both"/>
      </w:pPr>
      <w:r w:rsidRPr="009836C3">
        <w:t xml:space="preserve">Pursuant to Rule 1.140(a)(1) of the Florida Rules of Civil Procedure, Defendant had twenty (20) days, or until </w:t>
      </w:r>
      <w:r w:rsidR="009836C3" w:rsidRPr="0020258B">
        <w:rPr>
          <w:highlight w:val="yellow"/>
        </w:rPr>
        <w:t>November 8, 2016</w:t>
      </w:r>
      <w:r w:rsidRPr="009836C3">
        <w:t>, to provide a responsive pleading to Plaintiff</w:t>
      </w:r>
      <w:r w:rsidR="005C3D9A" w:rsidRPr="009836C3">
        <w:t>’</w:t>
      </w:r>
      <w:r w:rsidRPr="009836C3">
        <w:t>s complaint.</w:t>
      </w:r>
    </w:p>
    <w:p w14:paraId="50C5416A" w14:textId="77777777" w:rsidR="00892D2F" w:rsidRPr="0020258B" w:rsidRDefault="00892D2F" w:rsidP="009836C3">
      <w:pPr>
        <w:pStyle w:val="ListParagraph"/>
        <w:numPr>
          <w:ilvl w:val="0"/>
          <w:numId w:val="1"/>
        </w:numPr>
        <w:shd w:val="clear" w:color="auto" w:fill="FFFFFF" w:themeFill="background1"/>
        <w:spacing w:line="480" w:lineRule="auto"/>
        <w:ind w:left="0" w:firstLine="720"/>
        <w:jc w:val="both"/>
        <w:rPr>
          <w:highlight w:val="yellow"/>
        </w:rPr>
      </w:pPr>
      <w:r w:rsidRPr="0020258B">
        <w:rPr>
          <w:highlight w:val="yellow"/>
        </w:rPr>
        <w:t xml:space="preserve">However, on October 19, 2016, Defendant requested a thirty (30) day extension up </w:t>
      </w:r>
      <w:r w:rsidRPr="0020258B">
        <w:rPr>
          <w:highlight w:val="yellow"/>
        </w:rPr>
        <w:lastRenderedPageBreak/>
        <w:t>to and including December 8, 2016 to respond to Plaintiff’s Complaint</w:t>
      </w:r>
      <w:r w:rsidR="008C1DE2" w:rsidRPr="0020258B">
        <w:rPr>
          <w:highlight w:val="yellow"/>
        </w:rPr>
        <w:t>. See Email dated October 19, 201</w:t>
      </w:r>
      <w:r w:rsidR="00BC0027">
        <w:rPr>
          <w:highlight w:val="yellow"/>
        </w:rPr>
        <w:t>8</w:t>
      </w:r>
      <w:r w:rsidR="008C1DE2" w:rsidRPr="0020258B">
        <w:rPr>
          <w:highlight w:val="yellow"/>
        </w:rPr>
        <w:t>, attached hereto as Exhibit “B”.</w:t>
      </w:r>
    </w:p>
    <w:p w14:paraId="3A6B5D78" w14:textId="77777777" w:rsidR="008C1DE2" w:rsidRPr="00892D1D" w:rsidRDefault="008C1DE2" w:rsidP="009836C3">
      <w:pPr>
        <w:pStyle w:val="ListParagraph"/>
        <w:numPr>
          <w:ilvl w:val="0"/>
          <w:numId w:val="1"/>
        </w:numPr>
        <w:shd w:val="clear" w:color="auto" w:fill="FFFFFF" w:themeFill="background1"/>
        <w:spacing w:line="480" w:lineRule="auto"/>
        <w:ind w:left="0" w:firstLine="720"/>
        <w:jc w:val="both"/>
        <w:rPr>
          <w:highlight w:val="yellow"/>
        </w:rPr>
      </w:pPr>
      <w:r w:rsidRPr="00892D1D">
        <w:rPr>
          <w:highlight w:val="yellow"/>
        </w:rPr>
        <w:t>Plaintiff granted Defendant’s request for an extension.</w:t>
      </w:r>
    </w:p>
    <w:p w14:paraId="43ED95E4" w14:textId="77777777" w:rsidR="008C1DE2" w:rsidRPr="00892D1D" w:rsidRDefault="008C1DE2" w:rsidP="009836C3">
      <w:pPr>
        <w:pStyle w:val="ListParagraph"/>
        <w:numPr>
          <w:ilvl w:val="0"/>
          <w:numId w:val="1"/>
        </w:numPr>
        <w:shd w:val="clear" w:color="auto" w:fill="FFFFFF" w:themeFill="background1"/>
        <w:spacing w:line="480" w:lineRule="auto"/>
        <w:ind w:left="0" w:firstLine="720"/>
        <w:jc w:val="both"/>
        <w:rPr>
          <w:highlight w:val="yellow"/>
        </w:rPr>
      </w:pPr>
      <w:r w:rsidRPr="00892D1D">
        <w:rPr>
          <w:highlight w:val="yellow"/>
        </w:rPr>
        <w:t>On December 5, 201</w:t>
      </w:r>
      <w:r w:rsidR="00BC0027">
        <w:rPr>
          <w:highlight w:val="yellow"/>
        </w:rPr>
        <w:t>8</w:t>
      </w:r>
      <w:r w:rsidRPr="00892D1D">
        <w:rPr>
          <w:highlight w:val="yellow"/>
        </w:rPr>
        <w:t>, Defendant requested a second extension to respond to Plaintiff’s Complaint up through and including December 28, 201</w:t>
      </w:r>
      <w:r w:rsidR="00BC0027">
        <w:rPr>
          <w:highlight w:val="yellow"/>
        </w:rPr>
        <w:t>8</w:t>
      </w:r>
      <w:r w:rsidRPr="00892D1D">
        <w:rPr>
          <w:highlight w:val="yellow"/>
        </w:rPr>
        <w:t>.  See Email dated December 5, 201</w:t>
      </w:r>
      <w:r w:rsidR="00D22003">
        <w:rPr>
          <w:highlight w:val="yellow"/>
        </w:rPr>
        <w:t>8</w:t>
      </w:r>
      <w:r w:rsidRPr="00892D1D">
        <w:rPr>
          <w:highlight w:val="yellow"/>
        </w:rPr>
        <w:t>, attached hereto as Exhibit “C”.</w:t>
      </w:r>
    </w:p>
    <w:p w14:paraId="0C9C28BE" w14:textId="77777777" w:rsidR="0020258B" w:rsidRPr="00892D1D" w:rsidRDefault="0020258B" w:rsidP="009836C3">
      <w:pPr>
        <w:pStyle w:val="ListParagraph"/>
        <w:numPr>
          <w:ilvl w:val="0"/>
          <w:numId w:val="1"/>
        </w:numPr>
        <w:shd w:val="clear" w:color="auto" w:fill="FFFFFF" w:themeFill="background1"/>
        <w:spacing w:line="480" w:lineRule="auto"/>
        <w:ind w:left="0" w:firstLine="720"/>
        <w:jc w:val="both"/>
        <w:rPr>
          <w:highlight w:val="yellow"/>
        </w:rPr>
      </w:pPr>
      <w:r w:rsidRPr="00892D1D">
        <w:rPr>
          <w:highlight w:val="yellow"/>
        </w:rPr>
        <w:t>Plaintiff again granted Defendant’s request for an extension.</w:t>
      </w:r>
    </w:p>
    <w:p w14:paraId="5DD3BD7D" w14:textId="77777777" w:rsidR="00E8221D" w:rsidRPr="009836C3" w:rsidRDefault="00E8221D" w:rsidP="009836C3">
      <w:pPr>
        <w:pStyle w:val="ListParagraph"/>
        <w:numPr>
          <w:ilvl w:val="0"/>
          <w:numId w:val="1"/>
        </w:numPr>
        <w:shd w:val="clear" w:color="auto" w:fill="FFFFFF" w:themeFill="background1"/>
        <w:spacing w:line="480" w:lineRule="auto"/>
        <w:ind w:left="0" w:firstLine="720"/>
        <w:jc w:val="both"/>
      </w:pPr>
      <w:r w:rsidRPr="009836C3">
        <w:t xml:space="preserve">To date, </w:t>
      </w:r>
      <w:r w:rsidR="008C1DE2">
        <w:t xml:space="preserve">more than </w:t>
      </w:r>
      <w:r w:rsidR="008C1DE2" w:rsidRPr="00892D1D">
        <w:rPr>
          <w:highlight w:val="yellow"/>
        </w:rPr>
        <w:t>50</w:t>
      </w:r>
      <w:r w:rsidR="008C1DE2">
        <w:t xml:space="preserve"> days after Defendant’s Answer was due, </w:t>
      </w:r>
      <w:r w:rsidRPr="009836C3">
        <w:t>Defendant has failed to serve any responsive pleadings in this matter as required by law.</w:t>
      </w:r>
    </w:p>
    <w:p w14:paraId="1F1954A8" w14:textId="77777777" w:rsidR="00E8221D" w:rsidRPr="009836C3" w:rsidRDefault="008C1DE2" w:rsidP="009836C3">
      <w:pPr>
        <w:pStyle w:val="ListParagraph"/>
        <w:numPr>
          <w:ilvl w:val="0"/>
          <w:numId w:val="1"/>
        </w:numPr>
        <w:shd w:val="clear" w:color="auto" w:fill="FFFFFF" w:themeFill="background1"/>
        <w:spacing w:line="480" w:lineRule="auto"/>
        <w:ind w:left="0" w:firstLine="720"/>
        <w:jc w:val="both"/>
      </w:pPr>
      <w:r>
        <w:t xml:space="preserve">Accordingly, pursuant to Rule 1.500(a), Fla. R. Civ. P., </w:t>
      </w:r>
      <w:r w:rsidR="00E8221D" w:rsidRPr="009836C3">
        <w:t>Plaintiff move</w:t>
      </w:r>
      <w:r w:rsidR="005C3D9A" w:rsidRPr="009836C3">
        <w:t>s</w:t>
      </w:r>
      <w:r w:rsidR="00E8221D" w:rsidRPr="009836C3">
        <w:t xml:space="preserve"> for entry of default against the Defendant for failure to serve any responsive pleading or paper in this matter, as required by </w:t>
      </w:r>
      <w:r>
        <w:t>law</w:t>
      </w:r>
      <w:r w:rsidR="00E8221D" w:rsidRPr="009836C3">
        <w:t>.</w:t>
      </w:r>
    </w:p>
    <w:p w14:paraId="29D16841" w14:textId="77777777" w:rsidR="00054835" w:rsidRDefault="00054835">
      <w:pPr>
        <w:widowControl/>
        <w:autoSpaceDE/>
        <w:autoSpaceDN/>
        <w:adjustRightInd/>
        <w:spacing w:after="200" w:line="276" w:lineRule="auto"/>
        <w:rPr>
          <w:b/>
          <w:bCs/>
          <w:u w:val="single"/>
        </w:rPr>
      </w:pPr>
    </w:p>
    <w:p w14:paraId="61995A6E" w14:textId="77777777" w:rsidR="00054835" w:rsidRDefault="00054835">
      <w:pPr>
        <w:widowControl/>
        <w:autoSpaceDE/>
        <w:autoSpaceDN/>
        <w:adjustRightInd/>
        <w:spacing w:after="200" w:line="276" w:lineRule="auto"/>
        <w:rPr>
          <w:b/>
          <w:bCs/>
          <w:u w:val="single"/>
        </w:rPr>
      </w:pPr>
    </w:p>
    <w:p w14:paraId="532F1F7A" w14:textId="77777777" w:rsidR="00054835" w:rsidRDefault="00054835" w:rsidP="00054835">
      <w:pPr>
        <w:widowControl/>
        <w:autoSpaceDE/>
        <w:autoSpaceDN/>
        <w:adjustRightInd/>
        <w:spacing w:after="200" w:line="276" w:lineRule="auto"/>
        <w:jc w:val="center"/>
        <w:rPr>
          <w:bCs/>
        </w:rPr>
      </w:pPr>
      <w:r>
        <w:rPr>
          <w:bCs/>
        </w:rPr>
        <w:t>[</w:t>
      </w:r>
      <w:r>
        <w:rPr>
          <w:bCs/>
          <w:i/>
        </w:rPr>
        <w:t>CERTIFICATE OF SERVICE ON NEXT PAGE</w:t>
      </w:r>
      <w:r>
        <w:rPr>
          <w:bCs/>
        </w:rPr>
        <w:t>}</w:t>
      </w:r>
    </w:p>
    <w:p w14:paraId="51D76C47" w14:textId="77777777" w:rsidR="00892D1D" w:rsidRDefault="00892D1D" w:rsidP="00054835">
      <w:pPr>
        <w:widowControl/>
        <w:autoSpaceDE/>
        <w:autoSpaceDN/>
        <w:adjustRightInd/>
        <w:spacing w:after="200" w:line="276" w:lineRule="auto"/>
        <w:jc w:val="center"/>
        <w:rPr>
          <w:bCs/>
        </w:rPr>
      </w:pPr>
    </w:p>
    <w:p w14:paraId="5061BB48" w14:textId="77777777" w:rsidR="00875A3B" w:rsidRDefault="00875A3B" w:rsidP="00054835">
      <w:pPr>
        <w:widowControl/>
        <w:autoSpaceDE/>
        <w:autoSpaceDN/>
        <w:adjustRightInd/>
        <w:spacing w:after="200" w:line="276" w:lineRule="auto"/>
        <w:jc w:val="center"/>
        <w:rPr>
          <w:bCs/>
        </w:rPr>
      </w:pPr>
    </w:p>
    <w:p w14:paraId="505A8AAD" w14:textId="77777777" w:rsidR="00875A3B" w:rsidRDefault="00875A3B" w:rsidP="00054835">
      <w:pPr>
        <w:widowControl/>
        <w:autoSpaceDE/>
        <w:autoSpaceDN/>
        <w:adjustRightInd/>
        <w:spacing w:after="200" w:line="276" w:lineRule="auto"/>
        <w:jc w:val="center"/>
        <w:rPr>
          <w:bCs/>
        </w:rPr>
      </w:pPr>
    </w:p>
    <w:p w14:paraId="3C8700AA" w14:textId="77777777" w:rsidR="00875A3B" w:rsidRDefault="00875A3B" w:rsidP="00054835">
      <w:pPr>
        <w:widowControl/>
        <w:autoSpaceDE/>
        <w:autoSpaceDN/>
        <w:adjustRightInd/>
        <w:spacing w:after="200" w:line="276" w:lineRule="auto"/>
        <w:jc w:val="center"/>
        <w:rPr>
          <w:bCs/>
        </w:rPr>
      </w:pPr>
    </w:p>
    <w:p w14:paraId="2231503A" w14:textId="77777777" w:rsidR="00875A3B" w:rsidRDefault="00875A3B" w:rsidP="00054835">
      <w:pPr>
        <w:widowControl/>
        <w:autoSpaceDE/>
        <w:autoSpaceDN/>
        <w:adjustRightInd/>
        <w:spacing w:after="200" w:line="276" w:lineRule="auto"/>
        <w:jc w:val="center"/>
        <w:rPr>
          <w:bCs/>
        </w:rPr>
      </w:pPr>
    </w:p>
    <w:p w14:paraId="58DF8C13" w14:textId="77777777" w:rsidR="00875A3B" w:rsidRDefault="00875A3B" w:rsidP="00054835">
      <w:pPr>
        <w:widowControl/>
        <w:autoSpaceDE/>
        <w:autoSpaceDN/>
        <w:adjustRightInd/>
        <w:spacing w:after="200" w:line="276" w:lineRule="auto"/>
        <w:jc w:val="center"/>
        <w:rPr>
          <w:bCs/>
        </w:rPr>
      </w:pPr>
    </w:p>
    <w:p w14:paraId="130D87ED" w14:textId="77777777" w:rsidR="00875A3B" w:rsidRDefault="00875A3B" w:rsidP="00054835">
      <w:pPr>
        <w:widowControl/>
        <w:autoSpaceDE/>
        <w:autoSpaceDN/>
        <w:adjustRightInd/>
        <w:spacing w:after="200" w:line="276" w:lineRule="auto"/>
        <w:jc w:val="center"/>
        <w:rPr>
          <w:bCs/>
        </w:rPr>
      </w:pPr>
    </w:p>
    <w:p w14:paraId="09244C78" w14:textId="77777777" w:rsidR="00875A3B" w:rsidRDefault="00875A3B" w:rsidP="00054835">
      <w:pPr>
        <w:widowControl/>
        <w:autoSpaceDE/>
        <w:autoSpaceDN/>
        <w:adjustRightInd/>
        <w:spacing w:after="200" w:line="276" w:lineRule="auto"/>
        <w:jc w:val="center"/>
        <w:rPr>
          <w:bCs/>
        </w:rPr>
      </w:pPr>
    </w:p>
    <w:p w14:paraId="50964201" w14:textId="77777777" w:rsidR="00875A3B" w:rsidRDefault="00875A3B" w:rsidP="00054835">
      <w:pPr>
        <w:widowControl/>
        <w:autoSpaceDE/>
        <w:autoSpaceDN/>
        <w:adjustRightInd/>
        <w:spacing w:after="200" w:line="276" w:lineRule="auto"/>
        <w:jc w:val="center"/>
        <w:rPr>
          <w:bCs/>
        </w:rPr>
      </w:pPr>
    </w:p>
    <w:p w14:paraId="2F6EF2DC" w14:textId="77777777" w:rsidR="00875A3B" w:rsidRPr="00054835" w:rsidRDefault="00875A3B" w:rsidP="00054835">
      <w:pPr>
        <w:widowControl/>
        <w:autoSpaceDE/>
        <w:autoSpaceDN/>
        <w:adjustRightInd/>
        <w:spacing w:after="200" w:line="276" w:lineRule="auto"/>
        <w:jc w:val="center"/>
        <w:rPr>
          <w:bCs/>
        </w:rPr>
      </w:pPr>
    </w:p>
    <w:p w14:paraId="4E67BB3C" w14:textId="77777777" w:rsidR="00447169" w:rsidRPr="009836C3" w:rsidRDefault="00447169" w:rsidP="009836C3">
      <w:pPr>
        <w:pStyle w:val="ListParagraph"/>
        <w:shd w:val="clear" w:color="auto" w:fill="FFFFFF" w:themeFill="background1"/>
        <w:spacing w:line="480" w:lineRule="auto"/>
        <w:ind w:left="0"/>
        <w:jc w:val="center"/>
      </w:pPr>
      <w:r w:rsidRPr="009836C3">
        <w:rPr>
          <w:b/>
          <w:bCs/>
          <w:u w:val="single"/>
        </w:rPr>
        <w:t>CERTIFICATE OF SERVICE</w:t>
      </w:r>
    </w:p>
    <w:p w14:paraId="7C86DA6A" w14:textId="77777777" w:rsidR="00447169" w:rsidRDefault="00447169" w:rsidP="009836C3">
      <w:pPr>
        <w:pStyle w:val="ListParagraph"/>
        <w:shd w:val="clear" w:color="auto" w:fill="FFFFFF" w:themeFill="background1"/>
        <w:spacing w:line="480" w:lineRule="auto"/>
        <w:ind w:left="0"/>
        <w:jc w:val="both"/>
      </w:pPr>
      <w:r>
        <w:tab/>
        <w:t xml:space="preserve">I HEREBY CERTIFY that a true and correct copy of the foregoing has been furnished to Sean Downes, as the designated agent of the Defendant, SLIDE INSURANCE COMPANY, at: 1110 West Commercial Boulevard, Fort Lauderdale, FL 33309, on this ___ day of _____________, 2018.</w:t>
      </w:r>
    </w:p>
    <w:p w14:paraId="5C760ABE" w14:textId="77777777" w:rsidR="00BC0027" w:rsidRPr="00CF2172" w:rsidRDefault="00447169" w:rsidP="00BC0027">
      <w:pPr>
        <w:ind w:left="3600" w:firstLine="720"/>
        <w:rPr>
          <w:rFonts w:eastAsia="Calibri"/>
          <w:bCs/>
        </w:rPr>
      </w:pPr>
      <w:r>
        <w:tab/>
      </w:r>
      <w:r>
        <w:tab/>
      </w:r>
      <w:r>
        <w:tab/>
      </w:r>
      <w:r>
        <w:tab/>
      </w:r>
      <w:r>
        <w:tab/>
      </w:r>
      <w:r>
        <w:tab/>
      </w:r>
      <w:r w:rsidR="00BC0027">
        <w:rPr>
          <w:rFonts w:eastAsia="Calibri"/>
          <w:bCs/>
        </w:rPr>
        <w:t>Respectfully submitted,</w:t>
      </w:r>
    </w:p>
    <w:p w14:paraId="37870D24" w14:textId="77777777" w:rsidR="00BC0027" w:rsidRDefault="00BC0027" w:rsidP="00BC0027">
      <w:pPr>
        <w:ind w:left="3600" w:firstLine="720"/>
        <w:rPr>
          <w:rFonts w:eastAsia="Calibri"/>
          <w:b/>
          <w:bCs/>
        </w:rPr>
      </w:pPr>
    </w:p>
    <w:p w14:paraId="530FEA0E" w14:textId="77777777" w:rsidR="00BC0027" w:rsidRDefault="00BC0027" w:rsidP="00BC0027">
      <w:pPr>
        <w:ind w:left="3600" w:firstLine="720"/>
        <w:rPr>
          <w:rFonts w:eastAsia="Calibri"/>
          <w:b/>
          <w:bCs/>
        </w:rPr>
      </w:pPr>
      <w:r>
        <w:rPr>
          <w:rFonts w:eastAsia="Calibri"/>
          <w:b/>
          <w:bCs/>
        </w:rPr>
        <w:t>LOUIS LAW GROUP, LLC</w:t>
      </w:r>
    </w:p>
    <w:p w14:paraId="2492FBF8" w14:textId="77777777" w:rsidR="00BC0027" w:rsidRPr="00B61605" w:rsidRDefault="00BC0027" w:rsidP="00BC0027">
      <w:pPr>
        <w:ind w:left="3600" w:firstLine="720"/>
        <w:rPr>
          <w:rFonts w:eastAsia="Calibri"/>
          <w:bCs/>
        </w:rPr>
      </w:pPr>
      <w:r>
        <w:rPr>
          <w:rFonts w:eastAsia="Calibri"/>
          <w:bCs/>
        </w:rPr>
        <w:t>7951 Riviera Boulevard, Suite 103</w:t>
      </w:r>
    </w:p>
    <w:p w14:paraId="35D92D9D" w14:textId="77777777" w:rsidR="00BC0027" w:rsidRPr="00321171" w:rsidRDefault="00BC0027" w:rsidP="00BC0027">
      <w:pPr>
        <w:ind w:left="3600" w:firstLine="720"/>
        <w:rPr>
          <w:rFonts w:eastAsia="Calibri"/>
          <w:lang w:val="es-ES_tradnl"/>
        </w:rPr>
      </w:pPr>
      <w:r>
        <w:rPr>
          <w:rFonts w:eastAsia="Calibri"/>
        </w:rPr>
        <w:t>Miramar, Florida 33023</w:t>
      </w:r>
    </w:p>
    <w:p w14:paraId="67B7B5AD" w14:textId="77777777" w:rsidR="00BC0027" w:rsidRPr="00321171" w:rsidRDefault="00BC0027" w:rsidP="00BC0027">
      <w:pPr>
        <w:rPr>
          <w:rFonts w:eastAsia="Calibri"/>
          <w:lang w:val="es-ES_tradnl"/>
        </w:rPr>
      </w:pP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t>Tel.: (</w:t>
      </w:r>
      <w:r>
        <w:rPr>
          <w:rFonts w:eastAsia="Calibri"/>
          <w:lang w:val="es-ES_tradnl"/>
        </w:rPr>
        <w:t>954) 676-4179</w:t>
      </w:r>
    </w:p>
    <w:p w14:paraId="0DC19F4B" w14:textId="77777777" w:rsidR="00BC0027" w:rsidRPr="00321171" w:rsidRDefault="00BC0027" w:rsidP="00BC0027">
      <w:pPr>
        <w:rPr>
          <w:rFonts w:eastAsia="Calibri"/>
          <w:lang w:val="es-ES_tradnl"/>
        </w:rPr>
      </w:pP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t>Fax: (</w:t>
      </w:r>
      <w:r>
        <w:rPr>
          <w:rFonts w:eastAsia="Calibri"/>
          <w:lang w:val="es-ES_tradnl"/>
        </w:rPr>
        <w:t>844) 272-7163</w:t>
      </w:r>
    </w:p>
    <w:p w14:paraId="5808B3DF" w14:textId="77777777" w:rsidR="00BC0027" w:rsidRPr="00321171" w:rsidRDefault="00BC0027" w:rsidP="00BC0027">
      <w:pPr>
        <w:rPr>
          <w:rFonts w:eastAsia="Calibri"/>
          <w:u w:val="single"/>
          <w:lang w:val="es-ES_tradnl"/>
        </w:rPr>
      </w:pP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r>
      <w:r w:rsidRPr="00321171">
        <w:rPr>
          <w:rFonts w:eastAsia="Calibri"/>
          <w:lang w:val="es-ES_tradnl"/>
        </w:rPr>
        <w:tab/>
        <w:t xml:space="preserve">E-Service Email: </w:t>
      </w:r>
      <w:hyperlink r:id="rId7" w:history="1">
        <w:r w:rsidRPr="00C058D8">
          <w:rPr>
            <w:rStyle w:val="Hyperlink"/>
            <w:rFonts w:eastAsia="Calibri"/>
            <w:lang w:val="es-ES_tradnl"/>
          </w:rPr>
          <w:t>service@louislawgroup.com</w:t>
        </w:r>
      </w:hyperlink>
      <w:r>
        <w:rPr>
          <w:rFonts w:eastAsia="Calibri"/>
          <w:lang w:val="es-ES_tradnl"/>
        </w:rPr>
        <w:t xml:space="preserve"> </w:t>
      </w:r>
    </w:p>
    <w:p w14:paraId="60E9519E" w14:textId="77777777" w:rsidR="00BC0027" w:rsidRDefault="00BC0027" w:rsidP="00BC0027">
      <w:pPr>
        <w:ind w:left="3600" w:firstLine="720"/>
        <w:rPr>
          <w:rFonts w:eastAsia="Calibri"/>
        </w:rPr>
      </w:pPr>
      <w:r>
        <w:rPr>
          <w:rFonts w:eastAsia="Calibri"/>
        </w:rPr>
        <w:t xml:space="preserve">Non-Service Email: </w:t>
      </w:r>
      <w:hyperlink r:id="rId8" w:history="1">
        <w:r w:rsidRPr="00C058D8">
          <w:rPr>
            <w:rStyle w:val="Hyperlink"/>
            <w:rFonts w:eastAsia="Calibri"/>
          </w:rPr>
          <w:t>pierre@louislawgroup.com</w:t>
        </w:r>
      </w:hyperlink>
      <w:r>
        <w:rPr>
          <w:rFonts w:eastAsia="Calibri"/>
        </w:rPr>
        <w:t xml:space="preserve"> </w:t>
      </w:r>
    </w:p>
    <w:p w14:paraId="71ED11E8" w14:textId="77777777" w:rsidR="00BC0027" w:rsidRPr="00321171" w:rsidRDefault="00BC0027" w:rsidP="00BC0027">
      <w:pPr>
        <w:ind w:left="3600" w:firstLine="720"/>
        <w:rPr>
          <w:rFonts w:eastAsia="Calibri"/>
          <w:u w:val="single"/>
        </w:rPr>
      </w:pPr>
      <w:r>
        <w:rPr>
          <w:rFonts w:eastAsia="Calibri"/>
        </w:rPr>
        <w:t xml:space="preserve">Secondary Email: </w:t>
      </w:r>
      <w:hyperlink r:id="rId9" w:history="1">
        <w:r w:rsidRPr="00BA4D56">
          <w:rPr>
            <w:rStyle w:val="Hyperlink"/>
            <w:rFonts w:eastAsia="Calibri"/>
          </w:rPr>
          <w:t>rwashburn@louislawgroup.com</w:t>
        </w:r>
      </w:hyperlink>
      <w:r>
        <w:rPr>
          <w:rFonts w:eastAsia="Calibri"/>
        </w:rPr>
        <w:t xml:space="preserve"> </w:t>
      </w:r>
    </w:p>
    <w:p w14:paraId="2ED4E69F" w14:textId="77777777" w:rsidR="00BC0027" w:rsidRPr="00321171" w:rsidRDefault="00BC0027" w:rsidP="00BC0027">
      <w:pPr>
        <w:ind w:left="3600" w:firstLine="720"/>
        <w:rPr>
          <w:rFonts w:eastAsia="Calibri"/>
          <w:lang w:val="es-ES_tradnl"/>
        </w:rPr>
      </w:pPr>
      <w:r w:rsidRPr="00321171">
        <w:rPr>
          <w:rFonts w:eastAsia="Calibri"/>
        </w:rPr>
        <w:t xml:space="preserve"> </w:t>
      </w:r>
    </w:p>
    <w:p w14:paraId="38A0269F" w14:textId="77777777" w:rsidR="00BC0027" w:rsidRPr="00321171" w:rsidRDefault="00BC0027" w:rsidP="00BC0027">
      <w:pPr>
        <w:ind w:left="3600" w:firstLine="720"/>
        <w:rPr>
          <w:rFonts w:eastAsia="Calibri"/>
        </w:rPr>
      </w:pPr>
      <w:r w:rsidRPr="00321171">
        <w:rPr>
          <w:rFonts w:eastAsia="Calibri"/>
        </w:rPr>
        <w:t xml:space="preserve">By: </w:t>
      </w:r>
      <w:r w:rsidRPr="00321171">
        <w:rPr>
          <w:rFonts w:eastAsia="Calibri"/>
          <w:u w:val="single"/>
        </w:rPr>
        <w:t>/s/</w:t>
      </w:r>
      <w:r w:rsidRPr="00321171">
        <w:rPr>
          <w:rFonts w:eastAsia="Calibri"/>
          <w:u w:val="single"/>
        </w:rPr>
        <w:tab/>
      </w:r>
      <w:r>
        <w:rPr>
          <w:rFonts w:eastAsia="Calibri"/>
          <w:u w:val="single"/>
        </w:rPr>
        <w:t>Ricco C. Washburn</w:t>
      </w:r>
      <w:r w:rsidRPr="00321171">
        <w:rPr>
          <w:rFonts w:eastAsia="Calibri"/>
          <w:u w:val="single"/>
        </w:rPr>
        <w:tab/>
      </w:r>
      <w:r w:rsidRPr="00321171">
        <w:rPr>
          <w:rFonts w:eastAsia="Calibri"/>
          <w:u w:val="single"/>
        </w:rPr>
        <w:tab/>
      </w:r>
      <w:r w:rsidRPr="00321171">
        <w:rPr>
          <w:rFonts w:eastAsia="Calibri"/>
        </w:rPr>
        <w:t xml:space="preserve"> </w:t>
      </w:r>
    </w:p>
    <w:p w14:paraId="72F678D3" w14:textId="77777777" w:rsidR="00BC0027" w:rsidRPr="00321171" w:rsidRDefault="00BC0027" w:rsidP="00BC0027">
      <w:pPr>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Pr="00321171">
        <w:rPr>
          <w:rFonts w:eastAsia="Calibri"/>
        </w:rPr>
        <w:t>PIERRE A. LOUIS, ESQ.</w:t>
      </w:r>
    </w:p>
    <w:p w14:paraId="74863966" w14:textId="77777777" w:rsidR="00BC0027" w:rsidRDefault="00BC0027" w:rsidP="00BC0027">
      <w:pPr>
        <w:rPr>
          <w:rFonts w:eastAsia="Calibri"/>
        </w:rPr>
      </w:pPr>
      <w:r w:rsidRPr="00321171">
        <w:rPr>
          <w:rFonts w:eastAsia="Calibri"/>
        </w:rPr>
        <w:tab/>
      </w:r>
      <w:r w:rsidRPr="00321171">
        <w:rPr>
          <w:rFonts w:eastAsia="Calibri"/>
        </w:rPr>
        <w:tab/>
      </w:r>
      <w:r w:rsidRPr="00321171">
        <w:rPr>
          <w:rFonts w:eastAsia="Calibri"/>
        </w:rPr>
        <w:tab/>
      </w:r>
      <w:r w:rsidRPr="00321171">
        <w:rPr>
          <w:rFonts w:eastAsia="Calibri"/>
        </w:rPr>
        <w:tab/>
      </w:r>
      <w:r w:rsidRPr="00321171">
        <w:rPr>
          <w:rFonts w:eastAsia="Calibri"/>
        </w:rPr>
        <w:tab/>
      </w:r>
      <w:r w:rsidRPr="00321171">
        <w:rPr>
          <w:rFonts w:eastAsia="Calibri"/>
        </w:rPr>
        <w:tab/>
      </w:r>
      <w:r w:rsidRPr="00321171">
        <w:rPr>
          <w:rFonts w:eastAsia="Calibri"/>
        </w:rPr>
        <w:tab/>
        <w:t>Florida Bar No.: 106481</w:t>
      </w:r>
    </w:p>
    <w:p w14:paraId="5C54FCE8" w14:textId="77777777" w:rsidR="00BC0027" w:rsidRDefault="00BC0027" w:rsidP="00BC0027">
      <w:pPr>
        <w:ind w:left="4320" w:firstLine="720"/>
        <w:rPr>
          <w:rFonts w:eastAsia="Calibri"/>
        </w:rPr>
      </w:pPr>
      <w:r>
        <w:rPr>
          <w:rFonts w:eastAsia="Calibri"/>
        </w:rPr>
        <w:t>RICCO C. WASHBURN, ESQ.</w:t>
      </w:r>
    </w:p>
    <w:p w14:paraId="43773E0D" w14:textId="77777777" w:rsidR="00BC0027" w:rsidRDefault="00BC0027" w:rsidP="00BC0027">
      <w:pPr>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Florida Bar No.: 1001007</w:t>
      </w:r>
    </w:p>
    <w:p w14:paraId="50945688" w14:textId="77777777" w:rsidR="00BC0027" w:rsidRPr="00DD27EF" w:rsidRDefault="00BC0027" w:rsidP="00BC0027">
      <w:pPr>
        <w:rPr>
          <w:rFonts w:eastAsia="Calibri"/>
          <w:highlight w:val="yellow"/>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Pr="00DD27EF">
        <w:rPr>
          <w:rFonts w:eastAsia="Calibri"/>
          <w:highlight w:val="yellow"/>
        </w:rPr>
        <w:t xml:space="preserve">VALERIE L. RAPHAEL, ESQ. </w:t>
      </w:r>
    </w:p>
    <w:p w14:paraId="65C88921" w14:textId="77777777" w:rsidR="00BC0027" w:rsidRPr="00321171" w:rsidRDefault="00BC0027" w:rsidP="00BC0027">
      <w:pPr>
        <w:rPr>
          <w:rFonts w:eastAsia="Calibri"/>
        </w:rPr>
      </w:pPr>
      <w:r w:rsidRPr="00DD27EF">
        <w:rPr>
          <w:rFonts w:eastAsia="Calibri"/>
          <w:highlight w:val="yellow"/>
        </w:rPr>
        <w:tab/>
      </w:r>
      <w:r w:rsidRPr="00DD27EF">
        <w:rPr>
          <w:rFonts w:eastAsia="Calibri"/>
          <w:highlight w:val="yellow"/>
        </w:rPr>
        <w:tab/>
      </w:r>
      <w:r w:rsidRPr="00DD27EF">
        <w:rPr>
          <w:rFonts w:eastAsia="Calibri"/>
          <w:highlight w:val="yellow"/>
        </w:rPr>
        <w:tab/>
      </w:r>
      <w:r w:rsidRPr="00DD27EF">
        <w:rPr>
          <w:rFonts w:eastAsia="Calibri"/>
          <w:highlight w:val="yellow"/>
        </w:rPr>
        <w:tab/>
      </w:r>
      <w:r w:rsidRPr="00DD27EF">
        <w:rPr>
          <w:rFonts w:eastAsia="Calibri"/>
          <w:highlight w:val="yellow"/>
        </w:rPr>
        <w:tab/>
      </w:r>
      <w:r w:rsidRPr="00DD27EF">
        <w:rPr>
          <w:rFonts w:eastAsia="Calibri"/>
          <w:highlight w:val="yellow"/>
        </w:rPr>
        <w:tab/>
      </w:r>
      <w:r w:rsidRPr="00DD27EF">
        <w:rPr>
          <w:rFonts w:eastAsia="Calibri"/>
          <w:highlight w:val="yellow"/>
        </w:rPr>
        <w:tab/>
        <w:t>Florida Bar No.: 1003514</w:t>
      </w:r>
    </w:p>
    <w:p w14:paraId="59419C24" w14:textId="77777777" w:rsidR="00DF6FCD" w:rsidRDefault="00DF6FCD" w:rsidP="00BC0027">
      <w:pPr>
        <w:ind w:left="3600" w:firstLine="720"/>
        <w:contextualSpacing/>
        <w:jc w:val="both"/>
      </w:pPr>
    </w:p>
    <w:p w14:paraId="450FF329" w14:textId="77777777" w:rsidR="0029426D" w:rsidRDefault="0029426D" w:rsidP="00DF6FCD">
      <w:pPr>
        <w:tabs>
          <w:tab w:val="left" w:pos="0"/>
        </w:tabs>
        <w:ind w:left="5040"/>
      </w:pPr>
    </w:p>
    <w:p w14:paraId="0FF03CD2" w14:textId="77777777" w:rsidR="0029426D" w:rsidRDefault="0029426D" w:rsidP="0029426D">
      <w:pPr>
        <w:tabs>
          <w:tab w:val="left" w:pos="0"/>
          <w:tab w:val="left" w:pos="7935"/>
        </w:tabs>
        <w:ind w:left="5040"/>
      </w:pPr>
      <w:r>
        <w:tab/>
      </w:r>
    </w:p>
    <w:p w14:paraId="0E59FE5D" w14:textId="77777777" w:rsidR="0029426D" w:rsidRDefault="0029426D" w:rsidP="00DF6FCD">
      <w:pPr>
        <w:tabs>
          <w:tab w:val="left" w:pos="0"/>
        </w:tabs>
        <w:ind w:left="5040"/>
      </w:pPr>
    </w:p>
    <w:p w14:paraId="2D7FE07F" w14:textId="77777777" w:rsidR="00583A67" w:rsidRDefault="00583A67" w:rsidP="00DF6FCD">
      <w:pPr>
        <w:tabs>
          <w:tab w:val="left" w:pos="0"/>
        </w:tabs>
        <w:ind w:left="5040"/>
      </w:pPr>
    </w:p>
    <w:sectPr w:rsidR="00583A67" w:rsidSect="003F21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03E3D" w14:textId="77777777" w:rsidR="000F07EF" w:rsidRDefault="000F07EF" w:rsidP="00447169">
      <w:r>
        <w:separator/>
      </w:r>
    </w:p>
  </w:endnote>
  <w:endnote w:type="continuationSeparator" w:id="0">
    <w:p w14:paraId="461DD743" w14:textId="77777777" w:rsidR="000F07EF" w:rsidRDefault="000F07EF" w:rsidP="0044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BC03" w14:textId="77777777" w:rsidR="00014096" w:rsidRDefault="00014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2537022"/>
      <w:docPartObj>
        <w:docPartGallery w:val="Page Numbers (Bottom of Page)"/>
        <w:docPartUnique/>
      </w:docPartObj>
    </w:sdtPr>
    <w:sdtEndPr>
      <w:rPr>
        <w:noProof/>
      </w:rPr>
    </w:sdtEndPr>
    <w:sdtContent>
      <w:p w14:paraId="0A2216C6" w14:textId="77777777" w:rsidR="00875A3B" w:rsidRDefault="00447169" w:rsidP="00875A3B">
        <w:pPr>
          <w:pStyle w:val="Footer"/>
          <w:jc w:val="center"/>
          <w:rPr>
            <w:b/>
            <w:sz w:val="20"/>
            <w:szCs w:val="20"/>
          </w:rPr>
        </w:pPr>
        <w:r>
          <w:fldChar w:fldCharType="begin"/>
        </w:r>
        <w:r>
          <w:instrText xml:space="preserve"> PAGE   \* MERGEFORMAT </w:instrText>
        </w:r>
        <w:r>
          <w:fldChar w:fldCharType="separate"/>
        </w:r>
        <w:r w:rsidR="00D22003">
          <w:rPr>
            <w:noProof/>
          </w:rPr>
          <w:t>3</w:t>
        </w:r>
        <w:r>
          <w:rPr>
            <w:noProof/>
          </w:rPr>
          <w:fldChar w:fldCharType="end"/>
        </w:r>
      </w:p>
      <w:p w14:paraId="58D07036" w14:textId="77777777" w:rsidR="00875A3B" w:rsidRPr="00A812F8" w:rsidRDefault="00875A3B" w:rsidP="00875A3B">
        <w:pPr>
          <w:pStyle w:val="Footer"/>
          <w:pBdr>
            <w:top w:val="single" w:sz="4" w:space="1" w:color="auto"/>
          </w:pBdr>
          <w:jc w:val="center"/>
          <w:rPr>
            <w:b/>
            <w:sz w:val="20"/>
            <w:szCs w:val="20"/>
          </w:rPr>
        </w:pPr>
        <w:r w:rsidRPr="00A812F8">
          <w:rPr>
            <w:b/>
            <w:sz w:val="20"/>
            <w:szCs w:val="20"/>
          </w:rPr>
          <w:t>LOUIS LAW GROUP</w:t>
        </w:r>
      </w:p>
      <w:p w14:paraId="4F6DAFFE" w14:textId="77777777" w:rsidR="00875A3B" w:rsidRPr="00A812F8" w:rsidRDefault="00875A3B" w:rsidP="00875A3B">
        <w:pPr>
          <w:pStyle w:val="Footer"/>
          <w:jc w:val="center"/>
          <w:rPr>
            <w:b/>
            <w:sz w:val="20"/>
            <w:szCs w:val="20"/>
          </w:rPr>
        </w:pPr>
        <w:r w:rsidRPr="00A812F8">
          <w:rPr>
            <w:b/>
            <w:sz w:val="20"/>
            <w:szCs w:val="20"/>
          </w:rPr>
          <w:t>79</w:t>
        </w:r>
        <w:r w:rsidR="00BC0027">
          <w:rPr>
            <w:b/>
            <w:sz w:val="20"/>
            <w:szCs w:val="20"/>
          </w:rPr>
          <w:t>5</w:t>
        </w:r>
        <w:r w:rsidRPr="00A812F8">
          <w:rPr>
            <w:b/>
            <w:sz w:val="20"/>
            <w:szCs w:val="20"/>
          </w:rPr>
          <w:t xml:space="preserve">1 Riviera Boulevard, Suite </w:t>
        </w:r>
        <w:r w:rsidR="00BC0027">
          <w:rPr>
            <w:b/>
            <w:sz w:val="20"/>
            <w:szCs w:val="20"/>
          </w:rPr>
          <w:t>103</w:t>
        </w:r>
        <w:r w:rsidRPr="00A812F8">
          <w:rPr>
            <w:b/>
            <w:sz w:val="20"/>
            <w:szCs w:val="20"/>
          </w:rPr>
          <w:t>, Miramar, FL 33023</w:t>
        </w:r>
      </w:p>
      <w:p w14:paraId="3E057E16" w14:textId="77777777" w:rsidR="003F21EF" w:rsidRPr="001571C7" w:rsidRDefault="00875A3B" w:rsidP="00875A3B">
        <w:pPr>
          <w:pStyle w:val="Footer"/>
          <w:jc w:val="center"/>
          <w:rPr>
            <w:smallCaps/>
          </w:rPr>
        </w:pPr>
        <w:r w:rsidRPr="00A812F8">
          <w:rPr>
            <w:b/>
            <w:sz w:val="20"/>
            <w:szCs w:val="20"/>
          </w:rPr>
          <w:t>Telephone: (954) 676-4179 | Facsimile: (844) 272-7163│Email: Service@louislawgroup.com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8923A" w14:textId="77777777" w:rsidR="00875A3B" w:rsidRDefault="00875A3B" w:rsidP="00875A3B">
    <w:pPr>
      <w:pStyle w:val="Footer"/>
      <w:jc w:val="center"/>
      <w:rPr>
        <w:b/>
        <w:sz w:val="20"/>
        <w:szCs w:val="20"/>
      </w:rPr>
    </w:pPr>
    <w:r>
      <w:tab/>
    </w:r>
  </w:p>
  <w:p w14:paraId="7BCE67F3" w14:textId="77777777" w:rsidR="00875A3B" w:rsidRPr="00A812F8" w:rsidRDefault="00875A3B" w:rsidP="00875A3B">
    <w:pPr>
      <w:pStyle w:val="Footer"/>
      <w:pBdr>
        <w:top w:val="single" w:sz="4" w:space="1" w:color="auto"/>
      </w:pBdr>
      <w:jc w:val="center"/>
      <w:rPr>
        <w:b/>
        <w:sz w:val="20"/>
        <w:szCs w:val="20"/>
      </w:rPr>
    </w:pPr>
    <w:r w:rsidRPr="00A812F8">
      <w:rPr>
        <w:b/>
        <w:sz w:val="20"/>
        <w:szCs w:val="20"/>
      </w:rPr>
      <w:t>LOUIS LAW GROUP</w:t>
    </w:r>
  </w:p>
  <w:p w14:paraId="3876CDEA" w14:textId="77777777" w:rsidR="00875A3B" w:rsidRPr="00A812F8" w:rsidRDefault="00875A3B" w:rsidP="00875A3B">
    <w:pPr>
      <w:pStyle w:val="Footer"/>
      <w:jc w:val="center"/>
      <w:rPr>
        <w:b/>
        <w:sz w:val="20"/>
        <w:szCs w:val="20"/>
      </w:rPr>
    </w:pPr>
    <w:r w:rsidRPr="00A812F8">
      <w:rPr>
        <w:b/>
        <w:sz w:val="20"/>
        <w:szCs w:val="20"/>
      </w:rPr>
      <w:t>7971 Riviera Boulevard, Suite 204, Miramar, FL 33023</w:t>
    </w:r>
  </w:p>
  <w:p w14:paraId="40C64E91" w14:textId="77777777" w:rsidR="00875A3B" w:rsidRPr="00A812F8" w:rsidRDefault="00875A3B" w:rsidP="00875A3B">
    <w:pPr>
      <w:pStyle w:val="Footer"/>
      <w:jc w:val="center"/>
      <w:rPr>
        <w:b/>
        <w:sz w:val="20"/>
        <w:szCs w:val="20"/>
      </w:rPr>
    </w:pPr>
    <w:r w:rsidRPr="00A812F8">
      <w:rPr>
        <w:b/>
        <w:sz w:val="20"/>
        <w:szCs w:val="20"/>
      </w:rPr>
      <w:t>Telephone: (954) 676-4179 | Facsimile: (844) 272-7163│Email: Service@louislawgroup.com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A54B0" w14:textId="77777777" w:rsidR="000F07EF" w:rsidRDefault="000F07EF" w:rsidP="00447169">
      <w:r>
        <w:separator/>
      </w:r>
    </w:p>
  </w:footnote>
  <w:footnote w:type="continuationSeparator" w:id="0">
    <w:p w14:paraId="42EE10BB" w14:textId="77777777" w:rsidR="000F07EF" w:rsidRDefault="000F07EF" w:rsidP="00447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FFDA2" w14:textId="77777777" w:rsidR="00014096" w:rsidRDefault="00014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9A2C0" w14:textId="2B79270D" w:rsidR="00054835" w:rsidRDefault="00014096" w:rsidP="00054835">
    <w:pPr>
      <w:pStyle w:val="Header"/>
      <w:jc w:val="right"/>
    </w:pPr>
    <w:r w:rsidRPr="00014096">
      <w:t xml:space="preserve">16-2025-CC-012495-AXXX-MA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18365" w14:textId="77777777" w:rsidR="00014096" w:rsidRDefault="00014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2B4D"/>
    <w:multiLevelType w:val="hybridMultilevel"/>
    <w:tmpl w:val="7B224794"/>
    <w:lvl w:ilvl="0" w:tplc="0BA89D8C">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49A872C4"/>
    <w:multiLevelType w:val="hybridMultilevel"/>
    <w:tmpl w:val="A36AA3E2"/>
    <w:lvl w:ilvl="0" w:tplc="0BA89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307399">
    <w:abstractNumId w:val="0"/>
  </w:num>
  <w:num w:numId="2" w16cid:durableId="152967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82"/>
    <w:rsid w:val="00014096"/>
    <w:rsid w:val="00017014"/>
    <w:rsid w:val="0004148D"/>
    <w:rsid w:val="00054835"/>
    <w:rsid w:val="00071E6F"/>
    <w:rsid w:val="000B74AA"/>
    <w:rsid w:val="000F07EF"/>
    <w:rsid w:val="0010548A"/>
    <w:rsid w:val="001228B8"/>
    <w:rsid w:val="00130478"/>
    <w:rsid w:val="0020258B"/>
    <w:rsid w:val="0029426D"/>
    <w:rsid w:val="002E0682"/>
    <w:rsid w:val="003106DD"/>
    <w:rsid w:val="00355BCC"/>
    <w:rsid w:val="003F21EF"/>
    <w:rsid w:val="00447169"/>
    <w:rsid w:val="00515DEF"/>
    <w:rsid w:val="00523B63"/>
    <w:rsid w:val="00565F95"/>
    <w:rsid w:val="00583A67"/>
    <w:rsid w:val="005C3D9A"/>
    <w:rsid w:val="006607EC"/>
    <w:rsid w:val="006F38E1"/>
    <w:rsid w:val="007161AE"/>
    <w:rsid w:val="0073025B"/>
    <w:rsid w:val="00757650"/>
    <w:rsid w:val="007C0D9F"/>
    <w:rsid w:val="007C5424"/>
    <w:rsid w:val="00812788"/>
    <w:rsid w:val="00875A3B"/>
    <w:rsid w:val="00892D1D"/>
    <w:rsid w:val="00892D2F"/>
    <w:rsid w:val="008C1DE2"/>
    <w:rsid w:val="00943D8B"/>
    <w:rsid w:val="009836C3"/>
    <w:rsid w:val="00A12242"/>
    <w:rsid w:val="00B767F7"/>
    <w:rsid w:val="00B927E1"/>
    <w:rsid w:val="00BC0027"/>
    <w:rsid w:val="00BD6242"/>
    <w:rsid w:val="00C50BF4"/>
    <w:rsid w:val="00C64322"/>
    <w:rsid w:val="00D07F46"/>
    <w:rsid w:val="00D22003"/>
    <w:rsid w:val="00DF6FCD"/>
    <w:rsid w:val="00E8221D"/>
    <w:rsid w:val="00FC47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93510"/>
  <w15:docId w15:val="{0737BB5F-F691-491F-896C-A6BBD05A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2"/>
    <w:pPr>
      <w:widowControl w:val="0"/>
      <w:autoSpaceDE w:val="0"/>
      <w:autoSpaceDN w:val="0"/>
      <w:adjustRightInd w:val="0"/>
      <w:spacing w:after="0" w:line="240"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82"/>
    <w:pPr>
      <w:ind w:left="720"/>
      <w:contextualSpacing/>
    </w:pPr>
  </w:style>
  <w:style w:type="character" w:styleId="Hyperlink">
    <w:name w:val="Hyperlink"/>
    <w:basedOn w:val="DefaultParagraphFont"/>
    <w:uiPriority w:val="99"/>
    <w:unhideWhenUsed/>
    <w:rsid w:val="00447169"/>
    <w:rPr>
      <w:color w:val="0000FF" w:themeColor="hyperlink"/>
      <w:u w:val="single"/>
    </w:rPr>
  </w:style>
  <w:style w:type="paragraph" w:styleId="Header">
    <w:name w:val="header"/>
    <w:basedOn w:val="Normal"/>
    <w:link w:val="HeaderChar"/>
    <w:uiPriority w:val="99"/>
    <w:unhideWhenUsed/>
    <w:rsid w:val="00447169"/>
    <w:pPr>
      <w:tabs>
        <w:tab w:val="center" w:pos="4680"/>
        <w:tab w:val="right" w:pos="9360"/>
      </w:tabs>
    </w:pPr>
  </w:style>
  <w:style w:type="character" w:customStyle="1" w:styleId="HeaderChar">
    <w:name w:val="Header Char"/>
    <w:basedOn w:val="DefaultParagraphFont"/>
    <w:link w:val="Header"/>
    <w:uiPriority w:val="99"/>
    <w:rsid w:val="00447169"/>
    <w:rPr>
      <w:rFonts w:ascii="Times New Roman" w:eastAsiaTheme="minorEastAsia" w:hAnsi="Times New Roman"/>
      <w:sz w:val="24"/>
    </w:rPr>
  </w:style>
  <w:style w:type="paragraph" w:styleId="Footer">
    <w:name w:val="footer"/>
    <w:basedOn w:val="Normal"/>
    <w:link w:val="FooterChar"/>
    <w:uiPriority w:val="99"/>
    <w:unhideWhenUsed/>
    <w:rsid w:val="00447169"/>
    <w:pPr>
      <w:tabs>
        <w:tab w:val="center" w:pos="4680"/>
        <w:tab w:val="right" w:pos="9360"/>
      </w:tabs>
    </w:pPr>
  </w:style>
  <w:style w:type="character" w:customStyle="1" w:styleId="FooterChar">
    <w:name w:val="Footer Char"/>
    <w:basedOn w:val="DefaultParagraphFont"/>
    <w:link w:val="Footer"/>
    <w:uiPriority w:val="99"/>
    <w:rsid w:val="00447169"/>
    <w:rPr>
      <w:rFonts w:ascii="Times New Roman" w:eastAsiaTheme="minorEastAsia" w:hAnsi="Times New Roman"/>
      <w:sz w:val="24"/>
    </w:rPr>
  </w:style>
  <w:style w:type="paragraph" w:styleId="BalloonText">
    <w:name w:val="Balloon Text"/>
    <w:basedOn w:val="Normal"/>
    <w:link w:val="BalloonTextChar"/>
    <w:uiPriority w:val="99"/>
    <w:semiHidden/>
    <w:unhideWhenUsed/>
    <w:rsid w:val="00DF6FCD"/>
    <w:rPr>
      <w:rFonts w:ascii="Tahoma" w:hAnsi="Tahoma" w:cs="Tahoma"/>
      <w:sz w:val="16"/>
      <w:szCs w:val="16"/>
    </w:rPr>
  </w:style>
  <w:style w:type="character" w:customStyle="1" w:styleId="BalloonTextChar">
    <w:name w:val="Balloon Text Char"/>
    <w:basedOn w:val="DefaultParagraphFont"/>
    <w:link w:val="BalloonText"/>
    <w:uiPriority w:val="99"/>
    <w:semiHidden/>
    <w:rsid w:val="00DF6F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louislawgroup.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ervice@louislawgroup.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washburn@louislawgroup.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Ricco Washburn</dc:creator>
  <cp:lastModifiedBy>Muhammad Taha</cp:lastModifiedBy>
  <cp:revision>4</cp:revision>
  <cp:lastPrinted>2014-12-11T23:24:00Z</cp:lastPrinted>
  <dcterms:created xsi:type="dcterms:W3CDTF">2017-12-28T13:27:00Z</dcterms:created>
  <dcterms:modified xsi:type="dcterms:W3CDTF">2025-10-22T16:23:00Z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2025-10-22T16:23:48Z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9d190e15-9ecd-4032-867a-a543532d3713</vt:lpwstr>
  </property>
  <property fmtid="{D5CDD505-2E9C-101B-9397-08002B2CF9AE}" pid="8" name="MSIP_Label_74d0e9ec-9e5b-4c60-9081-d94e7198bfd2_ContentBits">
    <vt:lpwstr>0</vt:lpwstr>
  </property>
  <property fmtid="{D5CDD505-2E9C-101B-9397-08002B2CF9AE}" pid="9" name="MSIP_Label_74d0e9ec-9e5b-4c60-9081-d94e7198bfd2_Tag">
    <vt:lpwstr>10, 3, 0, 1</vt:lpwstr>
  </property>
</Properties>
</file>