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FOUNDERS' AGREEMENT</w:t>
      </w:r>
    </w:p>
    <w:p>
      <w:pPr>
        <w:spacing w:after="400"/>
        <w:jc w:val="center"/>
      </w:pPr>
      <w:r>
        <w:rPr>
          <w:color w:val="1a5276"/>
          <w:sz w:val="28"/>
          <w:szCs w:val="28"/>
        </w:rPr>
        <w:t xml:space="preserve">PrectAI &amp; ZAVOIP Ventures</w:t>
      </w:r>
    </w:p>
    <w:p>
      <w:pPr>
        <w:spacing w:after="400"/>
        <w:jc w:val="center"/>
      </w:pPr>
      <w:r>
        <w:rPr>
          <w:sz w:val="22"/>
          <w:szCs w:val="22"/>
        </w:rPr>
        <w:t xml:space="preserve">Effective Date: __________________, 2025</w:t>
      </w:r>
    </w:p>
    <w:p>
      <w:pPr>
        <w:pStyle w:val="Heading1"/>
      </w:pPr>
      <w:r>
        <w:t xml:space="preserve">ARTICLE 1: PARTIES</w:t>
      </w:r>
    </w:p>
    <w:p>
      <w:pPr>
        <w:spacing w:after="200"/>
      </w:pPr>
      <w:r>
        <w:t xml:space="preserve">This Founders' Agreement ("Agreement") is entered into by and between the following parties (collectively referred to as "Founders" or "Shareholders"):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Founder 1</w:t>
            </w:r>
          </w:p>
        </w:tc>
        <w:tc>
          <w:tcPr>
            <w:tcW w:type="dxa" w:w="468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Founder 2</w:t>
            </w:r>
          </w:p>
        </w:tc>
      </w:tr>
      <w:tr>
        <w:tc>
          <w:tcPr>
            <w:tcW w:type="dxa" w:w="4680"/>
            <w:tcBorders>
              <w:top w:val="single" w:color="CCCCCC" w:sz="1"/>
              <w:left w:val="single" w:color="CCCCCC" w:sz="1"/>
              <w:bottom w:val="single" w:color="CCCCCC" w:sz="1"/>
              <w:right w:val="single" w:color="CCCCCC" w:sz="1"/>
            </w:tcBorders>
          </w:tcPr>
          <w:p>
            <w:r>
              <w:rPr>
                <w:b/>
                <w:bCs/>
              </w:rPr>
              <w:t xml:space="preserve">Syed Zaka Ullah</w:t>
            </w:r>
          </w:p>
          <w:p>
            <w:r>
              <w:t xml:space="preserve">S/O Syed Muhammad Rafiq</w:t>
            </w:r>
          </w:p>
          <w:p>
            <w:r>
              <w:t xml:space="preserve">NIE: __________________</w:t>
            </w:r>
          </w:p>
        </w:tc>
        <w:tc>
          <w:tcPr>
            <w:tcW w:type="dxa" w:w="4680"/>
            <w:tcBorders>
              <w:top w:val="single" w:color="CCCCCC" w:sz="1"/>
              <w:left w:val="single" w:color="CCCCCC" w:sz="1"/>
              <w:bottom w:val="single" w:color="CCCCCC" w:sz="1"/>
              <w:right w:val="single" w:color="CCCCCC" w:sz="1"/>
            </w:tcBorders>
          </w:tcPr>
          <w:p>
            <w:r>
              <w:rPr>
                <w:b/>
                <w:bCs/>
              </w:rPr>
              <w:t xml:space="preserve">Muhammad Tayyab ILYAS</w:t>
            </w:r>
          </w:p>
          <w:p>
            <w:r>
              <w:t xml:space="preserve">S/O Muhammad ILYAS</w:t>
            </w:r>
          </w:p>
          <w:p>
            <w:r>
              <w:t xml:space="preserve">NIE: __________________</w:t>
            </w:r>
          </w:p>
        </w:tc>
      </w:tr>
    </w:tbl>
    <w:p>
      <w:pPr>
        <w:pStyle w:val="Heading1"/>
      </w:pPr>
      <w:r>
        <w:t xml:space="preserve">ARTICLE 2: DEFINITIONS</w:t>
      </w:r>
    </w:p>
    <w:p>
      <w:r>
        <w:rPr>
          <w:b/>
          <w:bCs/>
        </w:rPr>
        <w:t xml:space="preserve">2.1 "Business Ventures"</w:t>
      </w:r>
      <w:r>
        <w:t xml:space="preserve"> means PrectAI and ZAVOIP, as described in Article 3.</w:t>
      </w:r>
    </w:p>
    <w:p>
      <w:r>
        <w:rPr>
          <w:b/>
          <w:bCs/>
        </w:rPr>
        <w:t xml:space="preserve">2.2 "Affiliated Entities"</w:t>
      </w:r>
      <w:r>
        <w:t xml:space="preserve"> means EU2AI and PakEdX, as described in Article 3.</w:t>
      </w:r>
    </w:p>
    <w:p>
      <w:r>
        <w:rPr>
          <w:b/>
          <w:bCs/>
        </w:rPr>
        <w:t xml:space="preserve">2.3 "PlaceMeNet"</w:t>
      </w:r>
      <w:r>
        <w:t xml:space="preserve"> means the legal entity under which the Business Ventures shall operate during the pre-seed and feasibility phase.</w:t>
      </w:r>
    </w:p>
    <w:p>
      <w:r>
        <w:rPr>
          <w:b/>
          <w:bCs/>
        </w:rPr>
        <w:t xml:space="preserve">2.4 "Net Profit"</w:t>
      </w:r>
      <w:r>
        <w:t xml:space="preserve"> means gross revenue less all operating expenses, taxes, reserves, and reinvestment allocations as determined by standard accounting practices.</w:t>
      </w:r>
    </w:p>
    <w:p>
      <w:r>
        <w:rPr>
          <w:b/>
          <w:bCs/>
        </w:rPr>
        <w:t xml:space="preserve">2.5 "Initial Capital"</w:t>
      </w:r>
      <w:r>
        <w:t xml:space="preserve"> means the seed contribution of €2,000 (Two Thousand Euros) contributed equally by both Founders.</w:t>
      </w:r>
    </w:p>
    <w:p>
      <w:r>
        <w:rPr>
          <w:b/>
          <w:bCs/>
        </w:rPr>
        <w:t xml:space="preserve">2.6 "Withdrawal"</w:t>
      </w:r>
      <w:r>
        <w:t xml:space="preserve"> means any distribution of profits to Founders beyond operational salaries or reimbursements.</w:t>
      </w:r>
    </w:p>
    <w:p>
      <w:pPr>
        <w:pStyle w:val="Heading1"/>
      </w:pPr>
      <w:r>
        <w:t xml:space="preserve">ARTICLE 3: BUSINESS DESCRIPTION</w:t>
      </w:r>
    </w:p>
    <w:p>
      <w:pPr>
        <w:pStyle w:val="Heading2"/>
      </w:pPr>
      <w:r>
        <w:t xml:space="preserve">3.1 PrectAI (For-Profit)</w:t>
      </w:r>
    </w:p>
    <w:p>
      <w:r>
        <w:t xml:space="preserve">PrectAI shall provide AI-powered automation solutions for local businesses, including but not limited to inventory management systems, point-of-sale (POS) integration, branding services, and digital advertising solutions.</w:t>
      </w:r>
    </w:p>
    <w:p>
      <w:pPr>
        <w:pStyle w:val="Heading2"/>
      </w:pPr>
      <w:r>
        <w:t xml:space="preserve">3.2 ZAVOIP (For-Profit)</w:t>
      </w:r>
    </w:p>
    <w:p>
      <w:r>
        <w:t xml:space="preserve">ZAVOIP shall operate in conjunction with PlaceMeNet, providing networking solutions (including but not limited to VoIP telephony, network infrastructure, and server management) to support the technical requirements of affiliated projects.</w:t>
      </w:r>
    </w:p>
    <w:p>
      <w:pPr>
        <w:pStyle w:val="Heading2"/>
      </w:pPr>
      <w:r>
        <w:t xml:space="preserve">3.3 EU2AI (Non-Profit)</w:t>
      </w:r>
    </w:p>
    <w:p>
      <w:r>
        <w:t xml:space="preserve">EU2AI shall operate as a non-profit organization within the European Union, focused on promoting AI awareness, education, and adoption through community initiatives and learning programs.</w:t>
      </w:r>
    </w:p>
    <w:p>
      <w:pPr>
        <w:pStyle w:val="Heading2"/>
      </w:pPr>
      <w:r>
        <w:t xml:space="preserve">3.4 PakEdX (Non-Profit)</w:t>
      </w:r>
    </w:p>
    <w:p>
      <w:r>
        <w:t xml:space="preserve">PakEdX shall operate as a non-profit organization in Pakistan, dedicated to promoting AI-led educational initiatives and digital literacy programs.</w:t>
      </w:r>
    </w:p>
    <w:p>
      <w:pPr>
        <w:pStyle w:val="Heading2"/>
      </w:pPr>
      <w:r>
        <w:t xml:space="preserve">3.5 Operating Structure</w:t>
      </w:r>
    </w:p>
    <w:p>
      <w:r>
        <w:t xml:space="preserve">During the initial growth and business feasibility phase, all Business Ventures (PrectAI and ZAVOIP) shall operate under the legal umbrella of PlaceMeNet. Separate legal entities may be established upon mutual agreement of both Founders.</w:t>
      </w:r>
    </w:p>
    <w:p>
      <w:pPr>
        <w:pStyle w:val="Heading1"/>
      </w:pPr>
      <w:r>
        <w:t xml:space="preserve">ARTICLE 4: EQUITY OWNERSHIP</w:t>
      </w:r>
    </w:p>
    <w:p>
      <w:pPr>
        <w:pStyle w:val="Heading2"/>
      </w:pPr>
      <w:r>
        <w:t xml:space="preserve">4.1 Share Distribution</w:t>
      </w:r>
    </w:p>
    <w:p>
      <w:r>
        <w:t xml:space="preserve">Ownership of PrectAI and ZAVOIP shall be divided equally between the Founders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rPr>
              <w:t xml:space="preserve">Founder</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PrectAI</w:t>
            </w:r>
          </w:p>
        </w:tc>
        <w:tc>
          <w:tcPr>
            <w:tcW w:type="dxa" w:w="2340"/>
            <w:tcBorders>
              <w:top w:val="single" w:color="CCCCCC" w:sz="1"/>
              <w:left w:val="single" w:color="CCCCCC" w:sz="1"/>
              <w:bottom w:val="single" w:color="CCCCCC" w:sz="1"/>
              <w:right w:val="single" w:color="CCCCCC" w:sz="1"/>
            </w:tcBorders>
            <w:shd w:fill="d5e8f0" w:val="clear"/>
          </w:tcPr>
          <w:p>
            <w:pPr>
              <w:jc w:val="center"/>
            </w:pPr>
            <w:r>
              <w:rPr>
                <w:b/>
                <w:bCs/>
              </w:rPr>
              <w:t xml:space="preserve">ZAVOIP</w:t>
            </w:r>
          </w:p>
        </w:tc>
      </w:tr>
      <w:tr>
        <w:tc>
          <w:tcPr>
            <w:tcW w:type="dxa" w:w="4680"/>
            <w:tcBorders>
              <w:top w:val="single" w:color="CCCCCC" w:sz="1"/>
              <w:left w:val="single" w:color="CCCCCC" w:sz="1"/>
              <w:bottom w:val="single" w:color="CCCCCC" w:sz="1"/>
              <w:right w:val="single" w:color="CCCCCC" w:sz="1"/>
            </w:tcBorders>
          </w:tcPr>
          <w:p>
            <w:r>
              <w:t xml:space="preserve">Syed Zaka Ullah</w:t>
            </w:r>
          </w:p>
        </w:tc>
        <w:tc>
          <w:tcPr>
            <w:tcW w:type="dxa" w:w="2340"/>
            <w:tcBorders>
              <w:top w:val="single" w:color="CCCCCC" w:sz="1"/>
              <w:left w:val="single" w:color="CCCCCC" w:sz="1"/>
              <w:bottom w:val="single" w:color="CCCCCC" w:sz="1"/>
              <w:right w:val="single" w:color="CCCCCC" w:sz="1"/>
            </w:tcBorders>
          </w:tcPr>
          <w:p>
            <w:pPr>
              <w:jc w:val="center"/>
            </w:pPr>
            <w:r>
              <w:t xml:space="preserve">50%</w:t>
            </w:r>
          </w:p>
        </w:tc>
        <w:tc>
          <w:tcPr>
            <w:tcW w:type="dxa" w:w="2340"/>
            <w:tcBorders>
              <w:top w:val="single" w:color="CCCCCC" w:sz="1"/>
              <w:left w:val="single" w:color="CCCCCC" w:sz="1"/>
              <w:bottom w:val="single" w:color="CCCCCC" w:sz="1"/>
              <w:right w:val="single" w:color="CCCCCC" w:sz="1"/>
            </w:tcBorders>
          </w:tcPr>
          <w:p>
            <w:pPr>
              <w:jc w:val="center"/>
            </w:pPr>
            <w:r>
              <w:t xml:space="preserve">50%</w:t>
            </w:r>
          </w:p>
        </w:tc>
      </w:tr>
      <w:tr>
        <w:tc>
          <w:tcPr>
            <w:tcW w:type="dxa" w:w="4680"/>
            <w:tcBorders>
              <w:top w:val="single" w:color="CCCCCC" w:sz="1"/>
              <w:left w:val="single" w:color="CCCCCC" w:sz="1"/>
              <w:bottom w:val="single" w:color="CCCCCC" w:sz="1"/>
              <w:right w:val="single" w:color="CCCCCC" w:sz="1"/>
            </w:tcBorders>
          </w:tcPr>
          <w:p>
            <w:r>
              <w:t xml:space="preserve">Muhammad Tayyab ILYAS</w:t>
            </w:r>
          </w:p>
        </w:tc>
        <w:tc>
          <w:tcPr>
            <w:tcW w:type="dxa" w:w="2340"/>
            <w:tcBorders>
              <w:top w:val="single" w:color="CCCCCC" w:sz="1"/>
              <w:left w:val="single" w:color="CCCCCC" w:sz="1"/>
              <w:bottom w:val="single" w:color="CCCCCC" w:sz="1"/>
              <w:right w:val="single" w:color="CCCCCC" w:sz="1"/>
            </w:tcBorders>
          </w:tcPr>
          <w:p>
            <w:pPr>
              <w:jc w:val="center"/>
            </w:pPr>
            <w:r>
              <w:t xml:space="preserve">50%</w:t>
            </w:r>
          </w:p>
        </w:tc>
        <w:tc>
          <w:tcPr>
            <w:tcW w:type="dxa" w:w="2340"/>
            <w:tcBorders>
              <w:top w:val="single" w:color="CCCCCC" w:sz="1"/>
              <w:left w:val="single" w:color="CCCCCC" w:sz="1"/>
              <w:bottom w:val="single" w:color="CCCCCC" w:sz="1"/>
              <w:right w:val="single" w:color="CCCCCC" w:sz="1"/>
            </w:tcBorders>
          </w:tcPr>
          <w:p>
            <w:pPr>
              <w:jc w:val="center"/>
            </w:pPr>
            <w:r>
              <w:t xml:space="preserve">50%</w:t>
            </w:r>
          </w:p>
        </w:tc>
      </w:tr>
    </w:tbl>
    <w:p>
      <w:pPr>
        <w:pStyle w:val="Heading2"/>
        <w:spacing w:before="200"/>
      </w:pPr>
      <w:r>
        <w:t xml:space="preserve">4.2 Non-Dilution</w:t>
      </w:r>
    </w:p>
    <w:p>
      <w:r>
        <w:t xml:space="preserve">Neither Founder's equity share shall be diluted without their express written consent. Any future equity issuance to third parties shall require unanimous agreement.</w:t>
      </w:r>
    </w:p>
    <w:p>
      <w:pPr>
        <w:pStyle w:val="Heading1"/>
      </w:pPr>
      <w:r>
        <w:t xml:space="preserve">ARTICLE 5: INITIAL CAPITAL CONTRIBUTION</w:t>
      </w:r>
    </w:p>
    <w:p>
      <w:pPr>
        <w:pStyle w:val="Heading2"/>
      </w:pPr>
      <w:r>
        <w:t xml:space="preserve">5.1 Seed Investment</w:t>
      </w:r>
    </w:p>
    <w:p>
      <w:r>
        <w:t xml:space="preserve">Each Founder shall contribute an initial seed amount of €1,000 (One Thousand Euros), for a combined Initial Capital of €2,000 (Two Thousand Euros).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rPr>
              <w:t xml:space="preserve">Founder</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rPr>
              <w:t xml:space="preserve">Contribution</w:t>
            </w:r>
          </w:p>
        </w:tc>
      </w:tr>
      <w:tr>
        <w:tc>
          <w:tcPr>
            <w:tcW w:type="dxa" w:w="4680"/>
            <w:tcBorders>
              <w:top w:val="single" w:color="CCCCCC" w:sz="1"/>
              <w:left w:val="single" w:color="CCCCCC" w:sz="1"/>
              <w:bottom w:val="single" w:color="CCCCCC" w:sz="1"/>
              <w:right w:val="single" w:color="CCCCCC" w:sz="1"/>
            </w:tcBorders>
          </w:tcPr>
          <w:p>
            <w:r>
              <w:t xml:space="preserve">Syed Zaka Ullah</w:t>
            </w:r>
          </w:p>
        </w:tc>
        <w:tc>
          <w:tcPr>
            <w:tcW w:type="dxa" w:w="4680"/>
            <w:tcBorders>
              <w:top w:val="single" w:color="CCCCCC" w:sz="1"/>
              <w:left w:val="single" w:color="CCCCCC" w:sz="1"/>
              <w:bottom w:val="single" w:color="CCCCCC" w:sz="1"/>
              <w:right w:val="single" w:color="CCCCCC" w:sz="1"/>
            </w:tcBorders>
          </w:tcPr>
          <w:p>
            <w:pPr>
              <w:jc w:val="center"/>
            </w:pPr>
            <w:r>
              <w:t xml:space="preserve">€1,000</w:t>
            </w:r>
          </w:p>
        </w:tc>
      </w:tr>
      <w:tr>
        <w:tc>
          <w:tcPr>
            <w:tcW w:type="dxa" w:w="4680"/>
            <w:tcBorders>
              <w:top w:val="single" w:color="CCCCCC" w:sz="1"/>
              <w:left w:val="single" w:color="CCCCCC" w:sz="1"/>
              <w:bottom w:val="single" w:color="CCCCCC" w:sz="1"/>
              <w:right w:val="single" w:color="CCCCCC" w:sz="1"/>
            </w:tcBorders>
          </w:tcPr>
          <w:p>
            <w:r>
              <w:t xml:space="preserve">Muhammad Tayyab ILYAS</w:t>
            </w:r>
          </w:p>
        </w:tc>
        <w:tc>
          <w:tcPr>
            <w:tcW w:type="dxa" w:w="4680"/>
            <w:tcBorders>
              <w:top w:val="single" w:color="CCCCCC" w:sz="1"/>
              <w:left w:val="single" w:color="CCCCCC" w:sz="1"/>
              <w:bottom w:val="single" w:color="CCCCCC" w:sz="1"/>
              <w:right w:val="single" w:color="CCCCCC" w:sz="1"/>
            </w:tcBorders>
          </w:tcPr>
          <w:p>
            <w:pPr>
              <w:jc w:val="center"/>
            </w:pPr>
            <w:r>
              <w:t xml:space="preserve">€1,000</w:t>
            </w:r>
          </w:p>
        </w:tc>
      </w:tr>
      <w:tr>
        <w:tc>
          <w:tcPr>
            <w:tcW w:type="dxa" w:w="4680"/>
            <w:tcBorders>
              <w:top w:val="single" w:color="CCCCCC" w:sz="1"/>
              <w:left w:val="single" w:color="CCCCCC" w:sz="1"/>
              <w:bottom w:val="single" w:color="CCCCCC" w:sz="1"/>
              <w:right w:val="single" w:color="CCCCCC" w:sz="1"/>
            </w:tcBorders>
            <w:shd w:fill="f5f5f5" w:val="clear"/>
          </w:tcPr>
          <w:p>
            <w:r>
              <w:rPr>
                <w:b/>
                <w:bCs/>
              </w:rPr>
              <w:t xml:space="preserve">Total Initial Capital</w:t>
            </w:r>
          </w:p>
        </w:tc>
        <w:tc>
          <w:tcPr>
            <w:tcW w:type="dxa" w:w="4680"/>
            <w:tcBorders>
              <w:top w:val="single" w:color="CCCCCC" w:sz="1"/>
              <w:left w:val="single" w:color="CCCCCC" w:sz="1"/>
              <w:bottom w:val="single" w:color="CCCCCC" w:sz="1"/>
              <w:right w:val="single" w:color="CCCCCC" w:sz="1"/>
            </w:tcBorders>
            <w:shd w:fill="f5f5f5" w:val="clear"/>
          </w:tcPr>
          <w:p>
            <w:pPr>
              <w:jc w:val="center"/>
            </w:pPr>
            <w:r>
              <w:rPr>
                <w:b/>
                <w:bCs/>
              </w:rPr>
              <w:t xml:space="preserve">€2,000</w:t>
            </w:r>
          </w:p>
        </w:tc>
      </w:tr>
    </w:tbl>
    <w:p>
      <w:pPr>
        <w:pStyle w:val="Heading2"/>
        <w:spacing w:before="200"/>
      </w:pPr>
      <w:r>
        <w:t xml:space="preserve">5.2 Additional Capital</w:t>
      </w:r>
    </w:p>
    <w:p>
      <w:r>
        <w:t xml:space="preserve">Any additional capital contributions beyond the Initial Capital shall be made proportionally by both Founders unless otherwise agreed in writing. Failure to contribute additional capital when required may result in proportional equity adjustment.</w:t>
      </w:r>
    </w:p>
    <w:p>
      <w:pPr>
        <w:pStyle w:val="Heading1"/>
      </w:pPr>
      <w:r>
        <w:t xml:space="preserve">ARTICLE 6: PROFIT DISTRIBUTION &amp; WITHDRAWAL RESTRICTIONS</w:t>
      </w:r>
    </w:p>
    <w:p>
      <w:pPr>
        <w:pStyle w:val="Heading2"/>
      </w:pPr>
      <w:r>
        <w:t xml:space="preserve">6.1 Non-Profit Allocation</w:t>
      </w:r>
    </w:p>
    <w:p>
      <w:r>
        <w:t xml:space="preserve">Five percent (5%) of annual Net Profit from PrectAI and ZAVOIP shall be allocated equally to EU2AI and PakEdX (2.5% each) to support their non-profit educational initiatives.</w:t>
      </w:r>
    </w:p>
    <w:p>
      <w:pPr>
        <w:pStyle w:val="Heading2"/>
      </w:pPr>
      <w:r>
        <w:t xml:space="preserve">6.2 Phase 1: Years 1-3 (Initial Growth Period)</w:t>
      </w:r>
    </w:p>
    <w:p>
      <w:r>
        <w:t xml:space="preserve">During the first three (3) years from the Effective Date, neither Founder may withdraw more than ten percent (10%) of their proportional share of Net Profit in any fiscal year. Remaining profits shall be reinvested into business operations.</w:t>
      </w:r>
    </w:p>
    <w:p>
      <w:pPr>
        <w:pStyle w:val="Heading2"/>
      </w:pPr>
      <w:r>
        <w:t xml:space="preserve">6.3 Phase 2: Years 4-5 (Growth Period)</w:t>
      </w:r>
    </w:p>
    <w:p>
      <w:r>
        <w:t xml:space="preserve">From the beginning of Year 4 through the end of Year 5, each Founder may withdraw up to thirty percent (30%) of their proportional share of Net Profit in any fiscal year.</w:t>
      </w:r>
    </w:p>
    <w:p>
      <w:pPr>
        <w:pStyle w:val="Heading2"/>
      </w:pPr>
      <w:r>
        <w:t xml:space="preserve">6.4 Phase 3: Year 6 Onwards</w:t>
      </w:r>
    </w:p>
    <w:p>
      <w:r>
        <w:t xml:space="preserve">Beginning in Year 6, the profit distribution structure shall be reviewed and revised by mutual written agreement of both Founders. If no new agreement is reached, the Phase 2 withdrawal limits (30%) shall remain in effect.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Period</w:t>
            </w:r>
          </w:p>
        </w:tc>
        <w:tc>
          <w:tcPr>
            <w:tcW w:type="dxa" w:w="312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Max Withdrawal</w:t>
            </w:r>
          </w:p>
        </w:tc>
        <w:tc>
          <w:tcPr>
            <w:tcW w:type="dxa" w:w="3120"/>
            <w:tcBorders>
              <w:top w:val="single" w:color="CCCCCC" w:sz="1"/>
              <w:left w:val="single" w:color="CCCCCC" w:sz="1"/>
              <w:bottom w:val="single" w:color="CCCCCC" w:sz="1"/>
              <w:right w:val="single" w:color="CCCCCC" w:sz="1"/>
            </w:tcBorders>
            <w:shd w:fill="1a5276" w:val="clear"/>
          </w:tcPr>
          <w:p>
            <w:pPr>
              <w:jc w:val="center"/>
            </w:pPr>
            <w:r>
              <w:rPr>
                <w:b/>
                <w:bCs/>
                <w:color w:val="FFFFFF"/>
              </w:rPr>
              <w:t xml:space="preserve">Non-Profit Allocation</w:t>
            </w:r>
          </w:p>
        </w:tc>
      </w:tr>
      <w:tr>
        <w:tc>
          <w:tcPr>
            <w:tcW w:type="dxa" w:w="3120"/>
            <w:tcBorders>
              <w:top w:val="single" w:color="CCCCCC" w:sz="1"/>
              <w:left w:val="single" w:color="CCCCCC" w:sz="1"/>
              <w:bottom w:val="single" w:color="CCCCCC" w:sz="1"/>
              <w:right w:val="single" w:color="CCCCCC" w:sz="1"/>
            </w:tcBorders>
          </w:tcPr>
          <w:p>
            <w:pPr>
              <w:jc w:val="center"/>
            </w:pPr>
            <w:r>
              <w:t xml:space="preserve">Years 1-3</w:t>
            </w:r>
          </w:p>
        </w:tc>
        <w:tc>
          <w:tcPr>
            <w:tcW w:type="dxa" w:w="3120"/>
            <w:tcBorders>
              <w:top w:val="single" w:color="CCCCCC" w:sz="1"/>
              <w:left w:val="single" w:color="CCCCCC" w:sz="1"/>
              <w:bottom w:val="single" w:color="CCCCCC" w:sz="1"/>
              <w:right w:val="single" w:color="CCCCCC" w:sz="1"/>
            </w:tcBorders>
          </w:tcPr>
          <w:p>
            <w:pPr>
              <w:jc w:val="center"/>
            </w:pPr>
            <w:r>
              <w:t xml:space="preserve">10% of Net Profit</w:t>
            </w:r>
          </w:p>
        </w:tc>
        <w:tc>
          <w:tcPr>
            <w:tcW w:type="dxa" w:w="3120"/>
            <w:tcBorders>
              <w:top w:val="single" w:color="CCCCCC" w:sz="1"/>
              <w:left w:val="single" w:color="CCCCCC" w:sz="1"/>
              <w:bottom w:val="single" w:color="CCCCCC" w:sz="1"/>
              <w:right w:val="single" w:color="CCCCCC" w:sz="1"/>
            </w:tcBorders>
          </w:tcPr>
          <w:p>
            <w:pPr>
              <w:jc w:val="center"/>
            </w:pPr>
            <w:r>
              <w:t xml:space="preserve">5% annually</w:t>
            </w:r>
          </w:p>
        </w:tc>
      </w:tr>
      <w:tr>
        <w:tc>
          <w:tcPr>
            <w:tcW w:type="dxa" w:w="3120"/>
            <w:tcBorders>
              <w:top w:val="single" w:color="CCCCCC" w:sz="1"/>
              <w:left w:val="single" w:color="CCCCCC" w:sz="1"/>
              <w:bottom w:val="single" w:color="CCCCCC" w:sz="1"/>
              <w:right w:val="single" w:color="CCCCCC" w:sz="1"/>
            </w:tcBorders>
          </w:tcPr>
          <w:p>
            <w:pPr>
              <w:jc w:val="center"/>
            </w:pPr>
            <w:r>
              <w:t xml:space="preserve">Years 4-5</w:t>
            </w:r>
          </w:p>
        </w:tc>
        <w:tc>
          <w:tcPr>
            <w:tcW w:type="dxa" w:w="3120"/>
            <w:tcBorders>
              <w:top w:val="single" w:color="CCCCCC" w:sz="1"/>
              <w:left w:val="single" w:color="CCCCCC" w:sz="1"/>
              <w:bottom w:val="single" w:color="CCCCCC" w:sz="1"/>
              <w:right w:val="single" w:color="CCCCCC" w:sz="1"/>
            </w:tcBorders>
          </w:tcPr>
          <w:p>
            <w:pPr>
              <w:jc w:val="center"/>
            </w:pPr>
            <w:r>
              <w:t xml:space="preserve">30% of Net Profit</w:t>
            </w:r>
          </w:p>
        </w:tc>
        <w:tc>
          <w:tcPr>
            <w:tcW w:type="dxa" w:w="3120"/>
            <w:tcBorders>
              <w:top w:val="single" w:color="CCCCCC" w:sz="1"/>
              <w:left w:val="single" w:color="CCCCCC" w:sz="1"/>
              <w:bottom w:val="single" w:color="CCCCCC" w:sz="1"/>
              <w:right w:val="single" w:color="CCCCCC" w:sz="1"/>
            </w:tcBorders>
          </w:tcPr>
          <w:p>
            <w:pPr>
              <w:jc w:val="center"/>
            </w:pPr>
            <w:r>
              <w:t xml:space="preserve">5% annually</w:t>
            </w:r>
          </w:p>
        </w:tc>
      </w:tr>
      <w:tr>
        <w:tc>
          <w:tcPr>
            <w:tcW w:type="dxa" w:w="3120"/>
            <w:tcBorders>
              <w:top w:val="single" w:color="CCCCCC" w:sz="1"/>
              <w:left w:val="single" w:color="CCCCCC" w:sz="1"/>
              <w:bottom w:val="single" w:color="CCCCCC" w:sz="1"/>
              <w:right w:val="single" w:color="CCCCCC" w:sz="1"/>
            </w:tcBorders>
          </w:tcPr>
          <w:p>
            <w:pPr>
              <w:jc w:val="center"/>
            </w:pPr>
            <w:r>
              <w:t xml:space="preserve">Year 6+</w:t>
            </w:r>
          </w:p>
        </w:tc>
        <w:tc>
          <w:tcPr>
            <w:tcW w:type="dxa" w:w="3120"/>
            <w:tcBorders>
              <w:top w:val="single" w:color="CCCCCC" w:sz="1"/>
              <w:left w:val="single" w:color="CCCCCC" w:sz="1"/>
              <w:bottom w:val="single" w:color="CCCCCC" w:sz="1"/>
              <w:right w:val="single" w:color="CCCCCC" w:sz="1"/>
            </w:tcBorders>
          </w:tcPr>
          <w:p>
            <w:pPr>
              <w:jc w:val="center"/>
            </w:pPr>
            <w:r>
              <w:t xml:space="preserve">By mutual agreement</w:t>
            </w:r>
          </w:p>
        </w:tc>
        <w:tc>
          <w:tcPr>
            <w:tcW w:type="dxa" w:w="3120"/>
            <w:tcBorders>
              <w:top w:val="single" w:color="CCCCCC" w:sz="1"/>
              <w:left w:val="single" w:color="CCCCCC" w:sz="1"/>
              <w:bottom w:val="single" w:color="CCCCCC" w:sz="1"/>
              <w:right w:val="single" w:color="CCCCCC" w:sz="1"/>
            </w:tcBorders>
          </w:tcPr>
          <w:p>
            <w:pPr>
              <w:jc w:val="center"/>
            </w:pPr>
            <w:r>
              <w:t xml:space="preserve">5% annually</w:t>
            </w:r>
          </w:p>
        </w:tc>
      </w:tr>
    </w:tbl>
    <w:p>
      <w:pPr>
        <w:pStyle w:val="Heading1"/>
      </w:pPr>
      <w:r>
        <w:t xml:space="preserve">ARTICLE 7: ROLES, RESPONSIBILITIES &amp; DECISION-MAKING</w:t>
      </w:r>
    </w:p>
    <w:p>
      <w:pPr>
        <w:pStyle w:val="Heading2"/>
      </w:pPr>
      <w:r>
        <w:t xml:space="preserve">7.1 Equal Authority</w:t>
      </w:r>
    </w:p>
    <w:p>
      <w:r>
        <w:t xml:space="preserve">Both Founders shall have equal authority in all major business decisions. Neither Founder shall have unilateral decision-making power over significant matters affecting the Business Ventures.</w:t>
      </w:r>
    </w:p>
    <w:p>
      <w:pPr>
        <w:pStyle w:val="Heading2"/>
      </w:pPr>
      <w:r>
        <w:t xml:space="preserve">7.2 Major Decisions Requiring Unanimous Consent</w:t>
      </w:r>
    </w:p>
    <w:p>
      <w:r>
        <w:t xml:space="preserve">The following decisions require written consent from both Founders:</w:t>
      </w:r>
    </w:p>
    <w:p>
      <w:pPr>
        <w:pStyle w:val="ListParagraph"/>
        <w:numPr>
          <w:ilvl w:val="0"/>
          <w:numId w:val="2"/>
        </w:numPr>
      </w:pPr>
      <w:r>
        <w:t xml:space="preserve">Incurring debt or financial obligations exceeding €5,000</w:t>
      </w:r>
    </w:p>
    <w:p>
      <w:pPr>
        <w:pStyle w:val="ListParagraph"/>
        <w:numPr>
          <w:ilvl w:val="0"/>
          <w:numId w:val="2"/>
        </w:numPr>
      </w:pPr>
      <w:r>
        <w:t xml:space="preserve">Entering into contracts with a value exceeding €10,000 or duration exceeding 12 months</w:t>
      </w:r>
    </w:p>
    <w:p>
      <w:pPr>
        <w:pStyle w:val="ListParagraph"/>
        <w:numPr>
          <w:ilvl w:val="0"/>
          <w:numId w:val="2"/>
        </w:numPr>
      </w:pPr>
      <w:r>
        <w:t xml:space="preserve">Hiring or terminating employees with salary exceeding €30,000 annually</w:t>
      </w:r>
    </w:p>
    <w:p>
      <w:pPr>
        <w:pStyle w:val="ListParagraph"/>
        <w:numPr>
          <w:ilvl w:val="0"/>
          <w:numId w:val="2"/>
        </w:numPr>
      </w:pPr>
      <w:r>
        <w:t xml:space="preserve">Sale, merger, or acquisition of any Business Venture</w:t>
      </w:r>
    </w:p>
    <w:p>
      <w:pPr>
        <w:pStyle w:val="ListParagraph"/>
        <w:numPr>
          <w:ilvl w:val="0"/>
          <w:numId w:val="2"/>
        </w:numPr>
      </w:pPr>
      <w:r>
        <w:t xml:space="preserve">Admission of new shareholders or equity holders</w:t>
      </w:r>
    </w:p>
    <w:p>
      <w:pPr>
        <w:pStyle w:val="ListParagraph"/>
        <w:numPr>
          <w:ilvl w:val="0"/>
          <w:numId w:val="2"/>
        </w:numPr>
      </w:pPr>
      <w:r>
        <w:t xml:space="preserve">Changes to this Agreement or the company's constitutional documents</w:t>
      </w:r>
    </w:p>
    <w:p>
      <w:pPr>
        <w:pStyle w:val="ListParagraph"/>
        <w:numPr>
          <w:ilvl w:val="0"/>
          <w:numId w:val="2"/>
        </w:numPr>
      </w:pPr>
      <w:r>
        <w:t xml:space="preserve">Establishment of new legal entities or subsidiaries</w:t>
      </w:r>
    </w:p>
    <w:p>
      <w:pPr>
        <w:pStyle w:val="Heading2"/>
      </w:pPr>
      <w:r>
        <w:t xml:space="preserve">7.3 Deadlock Resolution</w:t>
      </w:r>
    </w:p>
    <w:p>
      <w:r>
        <w:t xml:space="preserve">In the event of a deadlock on any major decision, the Founders shall engage in good faith negotiations for a period of thirty (30) days. If no resolution is reached, the matter shall be referred to mediation as outlined in Article 14.</w:t>
      </w:r>
    </w:p>
    <w:p>
      <w:pPr>
        <w:pStyle w:val="Heading1"/>
      </w:pPr>
      <w:r>
        <w:t xml:space="preserve">ARTICLE 8: CONFIDENTIALITY</w:t>
      </w:r>
    </w:p>
    <w:p>
      <w:pPr>
        <w:pStyle w:val="Heading2"/>
      </w:pPr>
      <w:r>
        <w:t xml:space="preserve">8.1 Confidential Information</w:t>
      </w:r>
    </w:p>
    <w:p>
      <w:r>
        <w:t xml:space="preserve">Each Founder agrees to maintain strict confidentiality regarding all proprietary information, trade secrets, business strategies, customer data, financial information, and technical know-how relating to the Business Ventures.</w:t>
      </w:r>
    </w:p>
    <w:p>
      <w:pPr>
        <w:pStyle w:val="Heading2"/>
      </w:pPr>
      <w:r>
        <w:t xml:space="preserve">8.2 Duration</w:t>
      </w:r>
    </w:p>
    <w:p>
      <w:r>
        <w:t xml:space="preserve">This confidentiality obligation shall survive the termination of this Agreement and continue for a period of five (5) years following the date of termination or the Founder's exit from the Business Ventures, whichever is later.</w:t>
      </w:r>
    </w:p>
    <w:p>
      <w:pPr>
        <w:pStyle w:val="Heading2"/>
      </w:pPr>
      <w:r>
        <w:t xml:space="preserve">8.3 Exceptions</w:t>
      </w:r>
    </w:p>
    <w:p>
      <w:r>
        <w:t xml:space="preserve">Confidentiality obligations shall not apply to information that: (a) becomes publicly available through no fault of the receiving party; (b) was known to the receiving party prior to disclosure; (c) is required to be disclosed by law or court order.</w:t>
      </w:r>
    </w:p>
    <w:p>
      <w:pPr>
        <w:pStyle w:val="Heading1"/>
      </w:pPr>
      <w:r>
        <w:t xml:space="preserve">ARTICLE 9: INTELLECTUAL PROPERTY</w:t>
      </w:r>
    </w:p>
    <w:p>
      <w:pPr>
        <w:pStyle w:val="Heading2"/>
      </w:pPr>
      <w:r>
        <w:t xml:space="preserve">9.1 Ownership</w:t>
      </w:r>
    </w:p>
    <w:p>
      <w:r>
        <w:t xml:space="preserve">All intellectual property (including software, algorithms, branding, trademarks, patents, and copyrights) developed in connection with the Business Ventures shall be owned jointly and equally by both Founders through the respective business entity.</w:t>
      </w:r>
    </w:p>
    <w:p>
      <w:pPr>
        <w:pStyle w:val="Heading2"/>
      </w:pPr>
      <w:r>
        <w:t xml:space="preserve">9.2 Prior IP</w:t>
      </w:r>
    </w:p>
    <w:p>
      <w:r>
        <w:t xml:space="preserve">Any intellectual property owned by a Founder prior to this Agreement shall remain the sole property of that Founder unless expressly assigned to the Business Ventures in writing.</w:t>
      </w:r>
    </w:p>
    <w:p>
      <w:pPr>
        <w:pStyle w:val="Heading2"/>
      </w:pPr>
      <w:r>
        <w:t xml:space="preserve">9.3 Work Product</w:t>
      </w:r>
    </w:p>
    <w:p>
      <w:r>
        <w:t xml:space="preserve">All work product created by either Founder in the course of performing services for the Business Ventures shall be considered "work made for hire" and shall belong exclusively to the applicable Business Venture.</w:t>
      </w:r>
    </w:p>
    <w:p>
      <w:pPr>
        <w:pStyle w:val="Heading1"/>
      </w:pPr>
      <w:r>
        <w:t xml:space="preserve">ARTICLE 10: NON-COMPETE &amp; NON-SOLICITATION</w:t>
      </w:r>
    </w:p>
    <w:p>
      <w:pPr>
        <w:pStyle w:val="Heading2"/>
      </w:pPr>
      <w:r>
        <w:t xml:space="preserve">10.1 Non-Compete</w:t>
      </w:r>
    </w:p>
    <w:p>
      <w:r>
        <w:t xml:space="preserve">During the term of this Agreement and for two (2) years following termination, neither Founder shall directly or indirectly engage in, own, manage, or participate in any business that competes directly with PrectAI or ZAVOIP within the European Union or Pakistan.</w:t>
      </w:r>
    </w:p>
    <w:p>
      <w:pPr>
        <w:pStyle w:val="Heading2"/>
      </w:pPr>
      <w:r>
        <w:t xml:space="preserve">10.2 Non-Solicitation</w:t>
      </w:r>
    </w:p>
    <w:p>
      <w:r>
        <w:t xml:space="preserve">For a period of two (2) years following termination of this Agreement, neither Founder shall solicit, hire, or attempt to hire any employee, contractor, or consultant of the Business Ventures, or solicit any client or customer of the Business Ventures.</w:t>
      </w:r>
    </w:p>
    <w:p>
      <w:pPr>
        <w:pStyle w:val="Heading1"/>
      </w:pPr>
      <w:r>
        <w:t xml:space="preserve">ARTICLE 11: TRANSFER OF SHARES</w:t>
      </w:r>
    </w:p>
    <w:p>
      <w:pPr>
        <w:pStyle w:val="Heading2"/>
      </w:pPr>
      <w:r>
        <w:t xml:space="preserve">11.1 Right of First Refusal</w:t>
      </w:r>
    </w:p>
    <w:p>
      <w:r>
        <w:t xml:space="preserve">If either Founder wishes to sell, transfer, or otherwise dispose of their shares, they must first offer such shares to the other Founder on the same terms and conditions as any proposed third-party offer.</w:t>
      </w:r>
    </w:p>
    <w:p>
      <w:pPr>
        <w:pStyle w:val="Heading2"/>
      </w:pPr>
      <w:r>
        <w:t xml:space="preserve">11.2 Notice Period</w:t>
      </w:r>
    </w:p>
    <w:p>
      <w:r>
        <w:t xml:space="preserve">The selling Founder must provide written notice of the proposed sale, including all material terms. The other Founder shall have sixty (60) days to exercise their right of first refusal.</w:t>
      </w:r>
    </w:p>
    <w:p>
      <w:pPr>
        <w:pStyle w:val="Heading2"/>
      </w:pPr>
      <w:r>
        <w:t xml:space="preserve">11.3 Tag-Along Rights</w:t>
      </w:r>
    </w:p>
    <w:p>
      <w:r>
        <w:t xml:space="preserve">If one Founder sells shares to a third party, the other Founder shall have the right to participate in the sale on the same terms and conditions on a pro-rata basis.</w:t>
      </w:r>
    </w:p>
    <w:p>
      <w:pPr>
        <w:pStyle w:val="Heading1"/>
      </w:pPr>
      <w:r>
        <w:t xml:space="preserve">ARTICLE 12: TERMINATION</w:t>
      </w:r>
    </w:p>
    <w:p>
      <w:pPr>
        <w:pStyle w:val="Heading2"/>
      </w:pPr>
      <w:r>
        <w:t xml:space="preserve">12.1 Grounds for Termination</w:t>
      </w:r>
    </w:p>
    <w:p>
      <w:r>
        <w:t xml:space="preserve">This Agreement may be terminated under the following circumstances:</w:t>
      </w:r>
    </w:p>
    <w:p>
      <w:pPr>
        <w:pStyle w:val="ListParagraph"/>
        <w:numPr>
          <w:ilvl w:val="0"/>
          <w:numId w:val="2"/>
        </w:numPr>
      </w:pPr>
      <w:r>
        <w:t xml:space="preserve">Mutual written consent of both Founders</w:t>
      </w:r>
    </w:p>
    <w:p>
      <w:pPr>
        <w:pStyle w:val="ListParagraph"/>
        <w:numPr>
          <w:ilvl w:val="0"/>
          <w:numId w:val="2"/>
        </w:numPr>
      </w:pPr>
      <w:r>
        <w:t xml:space="preserve">Material breach by either party that remains uncured for thirty (30) days after written notice</w:t>
      </w:r>
    </w:p>
    <w:p>
      <w:pPr>
        <w:pStyle w:val="ListParagraph"/>
        <w:numPr>
          <w:ilvl w:val="0"/>
          <w:numId w:val="2"/>
        </w:numPr>
      </w:pPr>
      <w:r>
        <w:t xml:space="preserve">Death or permanent incapacity of a Founder</w:t>
      </w:r>
    </w:p>
    <w:p>
      <w:pPr>
        <w:pStyle w:val="ListParagraph"/>
        <w:numPr>
          <w:ilvl w:val="0"/>
          <w:numId w:val="2"/>
        </w:numPr>
      </w:pPr>
      <w:r>
        <w:t xml:space="preserve">Bankruptcy or insolvency of a Founder</w:t>
      </w:r>
    </w:p>
    <w:p>
      <w:pPr>
        <w:pStyle w:val="ListParagraph"/>
        <w:numPr>
          <w:ilvl w:val="0"/>
          <w:numId w:val="2"/>
        </w:numPr>
      </w:pPr>
      <w:r>
        <w:t xml:space="preserve">Dissolution of the Business Ventures by mutual agreement</w:t>
      </w:r>
    </w:p>
    <w:p>
      <w:pPr>
        <w:pStyle w:val="Heading2"/>
      </w:pPr>
      <w:r>
        <w:t xml:space="preserve">12.2 Consequences of Termination</w:t>
      </w:r>
    </w:p>
    <w:p>
      <w:r>
        <w:t xml:space="preserve">Upon termination, the Founders shall wind up the affairs of the Business Ventures in an orderly manner, settle all debts and obligations, and distribute any remaining assets according to each Founder's equity ownership percentage.</w:t>
      </w:r>
    </w:p>
    <w:p>
      <w:pPr>
        <w:pStyle w:val="Heading2"/>
      </w:pPr>
      <w:r>
        <w:t xml:space="preserve">12.3 Buy-Out Option</w:t>
      </w:r>
    </w:p>
    <w:p>
      <w:r>
        <w:t xml:space="preserve">In the event of termination due to death, incapacity, or voluntary exit of one Founder, the remaining Founder shall have the option to purchase the departing Founder's shares at fair market value as determined by an independent valuator.</w:t>
      </w:r>
    </w:p>
    <w:p>
      <w:pPr>
        <w:pStyle w:val="Heading1"/>
      </w:pPr>
      <w:r>
        <w:t xml:space="preserve">ARTICLE 13: LIABILITY &amp; INDEMNIFICATION</w:t>
      </w:r>
    </w:p>
    <w:p>
      <w:pPr>
        <w:pStyle w:val="Heading2"/>
      </w:pPr>
      <w:r>
        <w:t xml:space="preserve">13.1 Limited Liability</w:t>
      </w:r>
    </w:p>
    <w:p>
      <w:r>
        <w:t xml:space="preserve">Each Founder's liability shall be limited to their capital contribution unless a Founder engages in fraud, gross negligence, or willful misconduct.</w:t>
      </w:r>
    </w:p>
    <w:p>
      <w:pPr>
        <w:pStyle w:val="Heading2"/>
      </w:pPr>
      <w:r>
        <w:t xml:space="preserve">13.2 Indemnification</w:t>
      </w:r>
    </w:p>
    <w:p>
      <w:r>
        <w:t xml:space="preserve">Each Founder agrees to indemnify and hold harmless the other Founder and the Business Ventures from any claims, damages, or liabilities arising from their own negligence, breach of this Agreement, or violation of applicable law.</w:t>
      </w:r>
    </w:p>
    <w:p>
      <w:pPr>
        <w:pStyle w:val="Heading1"/>
      </w:pPr>
      <w:r>
        <w:t xml:space="preserve">ARTICLE 14: DISPUTE RESOLUTION</w:t>
      </w:r>
    </w:p>
    <w:p>
      <w:pPr>
        <w:pStyle w:val="Heading2"/>
      </w:pPr>
      <w:r>
        <w:t xml:space="preserve">14.1 Negotiation</w:t>
      </w:r>
    </w:p>
    <w:p>
      <w:r>
        <w:t xml:space="preserve">The Founders shall first attempt to resolve any dispute through good faith negotiation within thirty (30) days of written notice of the dispute.</w:t>
      </w:r>
    </w:p>
    <w:p>
      <w:pPr>
        <w:pStyle w:val="Heading2"/>
      </w:pPr>
      <w:r>
        <w:t xml:space="preserve">14.2 Mediation</w:t>
      </w:r>
    </w:p>
    <w:p>
      <w:r>
        <w:t xml:space="preserve">If negotiation fails, the dispute shall be submitted to mediation administered by a mutually agreed mediator. Mediation costs shall be shared equally.</w:t>
      </w:r>
    </w:p>
    <w:p>
      <w:pPr>
        <w:pStyle w:val="Heading2"/>
      </w:pPr>
      <w:r>
        <w:t xml:space="preserve">14.3 Arbitration</w:t>
      </w:r>
    </w:p>
    <w:p>
      <w:r>
        <w:t xml:space="preserve">If mediation fails, any dispute shall be resolved by binding arbitration in Barcelona, Spain, in accordance with the rules of the Spanish Court of Arbitration. The arbitration award shall be final and enforceable in any court of competent jurisdiction.</w:t>
      </w:r>
    </w:p>
    <w:p>
      <w:pPr>
        <w:pStyle w:val="Heading1"/>
      </w:pPr>
      <w:r>
        <w:t xml:space="preserve">ARTICLE 15: GOVERNING LAW &amp; JURISDICTION</w:t>
      </w:r>
    </w:p>
    <w:p>
      <w:pPr>
        <w:pStyle w:val="Heading2"/>
      </w:pPr>
      <w:r>
        <w:t xml:space="preserve">15.1 Governing Law</w:t>
      </w:r>
    </w:p>
    <w:p>
      <w:r>
        <w:t xml:space="preserve">This Agreement shall be governed by and construed in accordance with the laws of Spain, without regard to conflict of law principles.</w:t>
      </w:r>
    </w:p>
    <w:p>
      <w:pPr>
        <w:pStyle w:val="Heading2"/>
      </w:pPr>
      <w:r>
        <w:t xml:space="preserve">15.2 Jurisdiction</w:t>
      </w:r>
    </w:p>
    <w:p>
      <w:r>
        <w:t xml:space="preserve">For any matters not subject to arbitration, the courts of Barcelona, Spain shall have exclusive jurisdiction.</w:t>
      </w:r>
    </w:p>
    <w:p>
      <w:pPr>
        <w:pStyle w:val="Heading1"/>
      </w:pPr>
      <w:r>
        <w:t xml:space="preserve">ARTICLE 16: GENERAL PROVISIONS</w:t>
      </w:r>
    </w:p>
    <w:p>
      <w:pPr>
        <w:pStyle w:val="Heading2"/>
      </w:pPr>
      <w:r>
        <w:t xml:space="preserve">16.1 Entire Agreement</w:t>
      </w:r>
    </w:p>
    <w:p>
      <w:r>
        <w:t xml:space="preserve">This Agreement constitutes the entire agreement between the Founders with respect to the subject matter hereof and supersedes all prior negotiations, representations, and agreements.</w:t>
      </w:r>
    </w:p>
    <w:p>
      <w:pPr>
        <w:pStyle w:val="Heading2"/>
      </w:pPr>
      <w:r>
        <w:t xml:space="preserve">16.2 Amendments</w:t>
      </w:r>
    </w:p>
    <w:p>
      <w:r>
        <w:t xml:space="preserve">This Agreement may only be amended or modified by a written instrument signed by both Founders.</w:t>
      </w:r>
    </w:p>
    <w:p>
      <w:pPr>
        <w:pStyle w:val="Heading2"/>
      </w:pPr>
      <w:r>
        <w:t xml:space="preserve">16.3 Severability</w:t>
      </w:r>
    </w:p>
    <w:p>
      <w:r>
        <w:t xml:space="preserve">If any provision of this Agreement is held to be invalid or unenforceable, the remaining provisions shall continue in full force and effect.</w:t>
      </w:r>
    </w:p>
    <w:p>
      <w:pPr>
        <w:pStyle w:val="Heading2"/>
      </w:pPr>
      <w:r>
        <w:t xml:space="preserve">16.4 Waiver</w:t>
      </w:r>
    </w:p>
    <w:p>
      <w:r>
        <w:t xml:space="preserve">No waiver of any breach of this Agreement shall constitute a waiver of any subsequent breach. All waivers must be in writing.</w:t>
      </w:r>
    </w:p>
    <w:p>
      <w:pPr>
        <w:pStyle w:val="Heading2"/>
      </w:pPr>
      <w:r>
        <w:t xml:space="preserve">16.5 Notices</w:t>
      </w:r>
    </w:p>
    <w:p>
      <w:r>
        <w:t xml:space="preserve">All notices under this Agreement shall be in writing and delivered by email with confirmation, registered mail, or personal delivery to the addresses specified in this Agreement or as updated in writing by either party.</w:t>
      </w:r>
    </w:p>
    <w:p>
      <w:pPr>
        <w:pStyle w:val="Heading2"/>
      </w:pPr>
      <w:r>
        <w:t xml:space="preserve">16.6 Counterparts</w:t>
      </w:r>
    </w:p>
    <w:p>
      <w:r>
        <w:t xml:space="preserve">This Agreement may be executed in counterparts, each of which shall be deemed an original and all of which together shall constitute one and the same instrument.</w:t>
      </w:r>
    </w:p>
    <w:p>
      <w:pPr>
        <w:pStyle w:val="Heading1"/>
      </w:pPr>
      <w:r>
        <w:t xml:space="preserve">ARTICLE 17: EXECUTION</w:t>
      </w:r>
    </w:p>
    <w:p>
      <w:pPr>
        <w:spacing w:before="200" w:after="400"/>
      </w:pPr>
      <w:r>
        <w:t xml:space="preserve">IN WITNESS WHEREOF, the undersigned Founders have executed this Agreement as of the Effective Date first written above.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before="400"/>
            </w:pPr>
            <w:r>
              <w:rPr>
                <w:b/>
                <w:bCs/>
              </w:rPr>
              <w:t xml:space="preserve">FOUNDER 1:</w:t>
            </w:r>
          </w:p>
          <w:p>
            <w:pPr>
              <w:spacing w:before="400"/>
            </w:pPr>
            <w:r>
              <w:t xml:space="preserve">_______________________________</w:t>
            </w:r>
          </w:p>
          <w:p>
            <w:r>
              <w:rPr>
                <w:b/>
                <w:bCs/>
              </w:rPr>
              <w:t xml:space="preserve">Syed Zaka Ullah</w:t>
            </w:r>
          </w:p>
          <w:p>
            <w:pPr>
              <w:spacing w:before="200"/>
            </w:pPr>
            <w:r>
              <w:t xml:space="preserve">Date: _________________________</w:t>
            </w:r>
          </w:p>
          <w:p>
            <w:pPr>
              <w:spacing w:before="200"/>
            </w:pPr>
            <w:r>
              <w:t xml:space="preserve">Place: ________________________</w:t>
            </w:r>
          </w:p>
        </w:tc>
        <w:tc>
          <w:tcPr>
            <w:tcW w:type="dxa" w:w="4680"/>
            <w:tcBorders>
              <w:top w:val="none"/>
              <w:left w:val="none"/>
              <w:bottom w:val="none"/>
              <w:right w:val="none"/>
            </w:tcBorders>
          </w:tcPr>
          <w:p>
            <w:pPr>
              <w:spacing w:before="400"/>
            </w:pPr>
            <w:r>
              <w:rPr>
                <w:b/>
                <w:bCs/>
              </w:rPr>
              <w:t xml:space="preserve">FOUNDER 2:</w:t>
            </w:r>
          </w:p>
          <w:p>
            <w:pPr>
              <w:spacing w:before="400"/>
            </w:pPr>
            <w:r>
              <w:t xml:space="preserve">_______________________________</w:t>
            </w:r>
          </w:p>
          <w:p>
            <w:r>
              <w:rPr>
                <w:b/>
                <w:bCs/>
              </w:rPr>
              <w:t xml:space="preserve">Muhammad Tayyab ILYAS</w:t>
            </w:r>
          </w:p>
          <w:p>
            <w:pPr>
              <w:spacing w:before="200"/>
            </w:pPr>
            <w:r>
              <w:t xml:space="preserve">Date: _________________________</w:t>
            </w:r>
          </w:p>
          <w:p>
            <w:pPr>
              <w:spacing w:before="200"/>
            </w:pPr>
            <w:r>
              <w:t xml:space="preserve">Place: ________________________</w:t>
            </w:r>
          </w:p>
        </w:tc>
      </w:tr>
    </w:tbl>
    <w:p>
      <w:pPr>
        <w:pStyle w:val="Title"/>
        <w:pageBreakBefore/>
      </w:pPr>
      <w:r>
        <w:t xml:space="preserve">KEY TERMS SUMMARY</w:t>
      </w:r>
    </w:p>
    <w:p>
      <w:pPr>
        <w:spacing w:after="200"/>
      </w:pPr>
      <w:r>
        <w:rPr>
          <w:i/>
          <w:iCs/>
          <w:color w:val="666666"/>
        </w:rPr>
        <w:t xml:space="preserve">This summary is for convenience only and does not constitute legal advice. Refer to the full Agreement for complete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276" w:val="clear"/>
          </w:tcPr>
          <w:p>
            <w:r>
              <w:rPr>
                <w:b/>
                <w:bCs/>
                <w:color w:val="FFFFFF"/>
              </w:rPr>
              <w:t xml:space="preserve">Term</w:t>
            </w:r>
          </w:p>
        </w:tc>
        <w:tc>
          <w:tcPr>
            <w:tcW w:type="dxa" w:w="6240"/>
            <w:tcBorders>
              <w:top w:val="single" w:color="CCCCCC" w:sz="1"/>
              <w:left w:val="single" w:color="CCCCCC" w:sz="1"/>
              <w:bottom w:val="single" w:color="CCCCCC" w:sz="1"/>
              <w:right w:val="single" w:color="CCCCCC" w:sz="1"/>
            </w:tcBorders>
            <w:shd w:fill="1a5276" w:val="clear"/>
          </w:tcPr>
          <w:p>
            <w:r>
              <w:rPr>
                <w:b/>
                <w:bCs/>
                <w:color w:val="FFFFFF"/>
              </w:rPr>
              <w:t xml:space="preserve">Details</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Parties</w:t>
            </w:r>
          </w:p>
        </w:tc>
        <w:tc>
          <w:tcPr>
            <w:tcW w:type="dxa" w:w="6240"/>
            <w:tcBorders>
              <w:top w:val="single" w:color="CCCCCC" w:sz="1"/>
              <w:left w:val="single" w:color="CCCCCC" w:sz="1"/>
              <w:bottom w:val="single" w:color="CCCCCC" w:sz="1"/>
              <w:right w:val="single" w:color="CCCCCC" w:sz="1"/>
            </w:tcBorders>
          </w:tcPr>
          <w:p>
            <w:r>
              <w:t xml:space="preserve">Syed Zaka Ullah &amp; Muhammad Tayyab ILYAS</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Business Ventures</w:t>
            </w:r>
          </w:p>
        </w:tc>
        <w:tc>
          <w:tcPr>
            <w:tcW w:type="dxa" w:w="6240"/>
            <w:tcBorders>
              <w:top w:val="single" w:color="CCCCCC" w:sz="1"/>
              <w:left w:val="single" w:color="CCCCCC" w:sz="1"/>
              <w:bottom w:val="single" w:color="CCCCCC" w:sz="1"/>
              <w:right w:val="single" w:color="CCCCCC" w:sz="1"/>
            </w:tcBorders>
          </w:tcPr>
          <w:p>
            <w:r>
              <w:t xml:space="preserve">PrectAI (AI automation) &amp; ZAVOIP (networking/telephony)</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Non-Profit Entities</w:t>
            </w:r>
          </w:p>
        </w:tc>
        <w:tc>
          <w:tcPr>
            <w:tcW w:type="dxa" w:w="6240"/>
            <w:tcBorders>
              <w:top w:val="single" w:color="CCCCCC" w:sz="1"/>
              <w:left w:val="single" w:color="CCCCCC" w:sz="1"/>
              <w:bottom w:val="single" w:color="CCCCCC" w:sz="1"/>
              <w:right w:val="single" w:color="CCCCCC" w:sz="1"/>
            </w:tcBorders>
          </w:tcPr>
          <w:p>
            <w:r>
              <w:t xml:space="preserve">EU2AI (Europe) &amp; PakEdX (Pakistan)</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Equity Split</w:t>
            </w:r>
          </w:p>
        </w:tc>
        <w:tc>
          <w:tcPr>
            <w:tcW w:type="dxa" w:w="6240"/>
            <w:tcBorders>
              <w:top w:val="single" w:color="CCCCCC" w:sz="1"/>
              <w:left w:val="single" w:color="CCCCCC" w:sz="1"/>
              <w:bottom w:val="single" w:color="CCCCCC" w:sz="1"/>
              <w:right w:val="single" w:color="CCCCCC" w:sz="1"/>
            </w:tcBorders>
          </w:tcPr>
          <w:p>
            <w:r>
              <w:t xml:space="preserve">50% / 50% for both PrectAI and ZAVOIP</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Initial Capital</w:t>
            </w:r>
          </w:p>
        </w:tc>
        <w:tc>
          <w:tcPr>
            <w:tcW w:type="dxa" w:w="6240"/>
            <w:tcBorders>
              <w:top w:val="single" w:color="CCCCCC" w:sz="1"/>
              <w:left w:val="single" w:color="CCCCCC" w:sz="1"/>
              <w:bottom w:val="single" w:color="CCCCCC" w:sz="1"/>
              <w:right w:val="single" w:color="CCCCCC" w:sz="1"/>
            </w:tcBorders>
          </w:tcPr>
          <w:p>
            <w:r>
              <w:t xml:space="preserve">€2,000 total (€1,000 per Founder)</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Non-Profit Allocation</w:t>
            </w:r>
          </w:p>
        </w:tc>
        <w:tc>
          <w:tcPr>
            <w:tcW w:type="dxa" w:w="6240"/>
            <w:tcBorders>
              <w:top w:val="single" w:color="CCCCCC" w:sz="1"/>
              <w:left w:val="single" w:color="CCCCCC" w:sz="1"/>
              <w:bottom w:val="single" w:color="CCCCCC" w:sz="1"/>
              <w:right w:val="single" w:color="CCCCCC" w:sz="1"/>
            </w:tcBorders>
          </w:tcPr>
          <w:p>
            <w:r>
              <w:t xml:space="preserve">5% of annual Net Profit to EU2AI &amp; PakEdX</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Withdrawal Limits</w:t>
            </w:r>
          </w:p>
        </w:tc>
        <w:tc>
          <w:tcPr>
            <w:tcW w:type="dxa" w:w="6240"/>
            <w:tcBorders>
              <w:top w:val="single" w:color="CCCCCC" w:sz="1"/>
              <w:left w:val="single" w:color="CCCCCC" w:sz="1"/>
              <w:bottom w:val="single" w:color="CCCCCC" w:sz="1"/>
              <w:right w:val="single" w:color="CCCCCC" w:sz="1"/>
            </w:tcBorders>
          </w:tcPr>
          <w:p>
            <w:r>
              <w:t xml:space="preserve">Years 1-3: Max 10% of Net Profit</w:t>
            </w:r>
          </w:p>
          <w:p>
            <w:r>
              <w:t xml:space="preserve">Years 4-5: Max 30% of Net Profit</w:t>
            </w:r>
          </w:p>
          <w:p>
            <w:r>
              <w:t xml:space="preserve">Year 6+: By mutual agreement</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Operating Entity</w:t>
            </w:r>
          </w:p>
        </w:tc>
        <w:tc>
          <w:tcPr>
            <w:tcW w:type="dxa" w:w="6240"/>
            <w:tcBorders>
              <w:top w:val="single" w:color="CCCCCC" w:sz="1"/>
              <w:left w:val="single" w:color="CCCCCC" w:sz="1"/>
              <w:bottom w:val="single" w:color="CCCCCC" w:sz="1"/>
              <w:right w:val="single" w:color="CCCCCC" w:sz="1"/>
            </w:tcBorders>
          </w:tcPr>
          <w:p>
            <w:r>
              <w:t xml:space="preserve">PlaceMeNet (during pre-seed/feasibility phase)</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Confidentiality</w:t>
            </w:r>
          </w:p>
        </w:tc>
        <w:tc>
          <w:tcPr>
            <w:tcW w:type="dxa" w:w="6240"/>
            <w:tcBorders>
              <w:top w:val="single" w:color="CCCCCC" w:sz="1"/>
              <w:left w:val="single" w:color="CCCCCC" w:sz="1"/>
              <w:bottom w:val="single" w:color="CCCCCC" w:sz="1"/>
              <w:right w:val="single" w:color="CCCCCC" w:sz="1"/>
            </w:tcBorders>
          </w:tcPr>
          <w:p>
            <w:r>
              <w:t xml:space="preserve">5 years post-termination</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Non-Compete Period</w:t>
            </w:r>
          </w:p>
        </w:tc>
        <w:tc>
          <w:tcPr>
            <w:tcW w:type="dxa" w:w="6240"/>
            <w:tcBorders>
              <w:top w:val="single" w:color="CCCCCC" w:sz="1"/>
              <w:left w:val="single" w:color="CCCCCC" w:sz="1"/>
              <w:bottom w:val="single" w:color="CCCCCC" w:sz="1"/>
              <w:right w:val="single" w:color="CCCCCC" w:sz="1"/>
            </w:tcBorders>
          </w:tcPr>
          <w:p>
            <w:r>
              <w:t xml:space="preserve">2 years post-termination (EU &amp; Pakistan)</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Dispute Resolution</w:t>
            </w:r>
          </w:p>
        </w:tc>
        <w:tc>
          <w:tcPr>
            <w:tcW w:type="dxa" w:w="6240"/>
            <w:tcBorders>
              <w:top w:val="single" w:color="CCCCCC" w:sz="1"/>
              <w:left w:val="single" w:color="CCCCCC" w:sz="1"/>
              <w:bottom w:val="single" w:color="CCCCCC" w:sz="1"/>
              <w:right w:val="single" w:color="CCCCCC" w:sz="1"/>
            </w:tcBorders>
          </w:tcPr>
          <w:p>
            <w:r>
              <w:t xml:space="preserve">Negotiation → Mediation → Arbitration (Barcelona)</w:t>
            </w:r>
          </w:p>
        </w:tc>
      </w:tr>
      <w:tr>
        <w:tc>
          <w:tcPr>
            <w:tcW w:type="dxa" w:w="3120"/>
            <w:tcBorders>
              <w:top w:val="single" w:color="CCCCCC" w:sz="1"/>
              <w:left w:val="single" w:color="CCCCCC" w:sz="1"/>
              <w:bottom w:val="single" w:color="CCCCCC" w:sz="1"/>
              <w:right w:val="single" w:color="CCCCCC" w:sz="1"/>
            </w:tcBorders>
            <w:shd w:fill="f5f5f5" w:val="clear"/>
          </w:tcPr>
          <w:p>
            <w:r>
              <w:rPr>
                <w:b/>
                <w:bCs/>
              </w:rPr>
              <w:t xml:space="preserve">Governing Law</w:t>
            </w:r>
          </w:p>
        </w:tc>
        <w:tc>
          <w:tcPr>
            <w:tcW w:type="dxa" w:w="6240"/>
            <w:tcBorders>
              <w:top w:val="single" w:color="CCCCCC" w:sz="1"/>
              <w:left w:val="single" w:color="CCCCCC" w:sz="1"/>
              <w:bottom w:val="single" w:color="CCCCCC" w:sz="1"/>
              <w:right w:val="single" w:color="CCCCCC" w:sz="1"/>
            </w:tcBorders>
          </w:tcPr>
          <w:p>
            <w:r>
              <w:t xml:space="preserve">Spanish Law, Courts of Barcelona</w:t>
            </w:r>
          </w:p>
        </w:tc>
      </w:tr>
    </w:tbl>
    <w:p>
      <w:pPr>
        <w:spacing w:before="400"/>
        <w:jc w:val="center"/>
      </w:pPr>
      <w:r>
        <w:rPr>
          <w:i/>
          <w:iCs/>
          <w:color w:val="666666"/>
        </w:rPr>
        <w:t xml:space="preserve">— END OF AGREEMENT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Founders' Agreement – PrectAI &amp; ZAVOIP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1a5276"/>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874a6"/>
      <w:sz w:val="24"/>
      <w:szCs w:val="24"/>
    </w:rPr>
  </w:style>
  <w:style w:type="paragraph" w:styleId="Normal">
    <w:name w:val="Normal"/>
    <w:pPr>
      <w:spacing w:after="120" w:line="276"/>
    </w:pPr>
    <w:rPr>
      <w:rFonts w:ascii="Arial" w:cs="Arial" w:eastAsia="Arial" w:hAnsi="Arial"/>
      <w:sz w:val="22"/>
      <w:szCs w:val="22"/>
    </w:rPr>
  </w:style>
  <w:style w:type="paragraph" w:styleId="SectionHeader">
    <w:name w:val="Section Header"/>
    <w:basedOn w:val="Normal"/>
    <w:pPr>
      <w:spacing w:before="240" w:after="120"/>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2025-12-12T09:32:36.745Z</dcterms:created>
  <dcterms:modified xsi:type="dcterms:W3CDTF">2025-12-12T09:32:36.746Z</dcterms:modified>
</cp:coreProperties>
</file>

<file path=docProps/custom.xml><?xml version="1.0" encoding="utf-8"?>
<Properties xmlns="http://schemas.openxmlformats.org/officeDocument/2006/custom-properties" xmlns:vt="http://schemas.openxmlformats.org/officeDocument/2006/docPropsVTypes"/>
</file>