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UK Property / Address API Comparison</w:t>
      </w:r>
    </w:p>
    <w:p>
      <w:pPr>
        <w:jc w:val="center"/>
      </w:pPr>
      <w:r>
        <w:rPr>
          <w:b/>
          <w:sz w:val="18"/>
        </w:rPr>
        <w:t>Job portal use case: postcode → property selection → latitude/longitude → distance between worker home and work site</w:t>
      </w:r>
    </w:p>
    <w:p>
      <w:pPr>
        <w:pStyle w:val="Heading1"/>
      </w:pPr>
      <w:r>
        <w:t>1. What the integration needs</w:t>
      </w:r>
    </w:p>
    <w:p>
      <w:pPr>
        <w:spacing w:after="80"/>
      </w:pPr>
      <w:r>
        <w:rPr>
          <w:b/>
        </w:rPr>
        <w:t xml:space="preserve">Required flow: </w:t>
      </w:r>
      <w:r>
        <w:t>user enters a UK postcode → API returns the addresses/properties linked to that postcode → user selects the correct home or work-site address → API returns a stable property/address identifier (ideally UPRN) and property-level latitude/longitude. The app then calculates distance between the two coordinate pairs.</w:t>
      </w:r>
    </w:p>
    <w:p>
      <w:pPr>
        <w:spacing w:after="100"/>
      </w:pPr>
      <w:r>
        <w:rPr>
          <w:b/>
        </w:rPr>
        <w:t xml:space="preserve">Important: </w:t>
      </w:r>
      <w:r>
        <w:t>These services provide address/property coordinates. Straight-line distance can be calculated in your backend. Driving distance or travel time requires a routing API such as Google Maps, Mapbox or HERE.</w:t>
      </w:r>
    </w:p>
    <w:p>
      <w:pPr>
        <w:pStyle w:val="Heading1"/>
      </w:pPr>
      <w:r>
        <w:t>2. Shortlist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613"/>
        <w:gridCol w:w="792"/>
        <w:gridCol w:w="1483"/>
        <w:gridCol w:w="1440"/>
        <w:gridCol w:w="1901"/>
        <w:gridCol w:w="1224"/>
      </w:tblGrid>
      <w:tr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Provider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Postcode → addresses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UPRN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Property-level Lat/Lng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Extra property data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Published entry pricing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Fit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PropertyData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Very broad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From £28/mo, 2,000 API credits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Best overall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Homedata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 / address lookup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Broad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PAYG; £1 = 100 tokens. Optional £50/mo+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Best PAYG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OS Places API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Address-focused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Usage/licence based; verify current OS plan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Best authoritative address source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Property Market Intel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Address search; confirm postcode-list behaviour in trial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Broad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From £28/mo, 2,000 credits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Strong alternative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Property Insights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Autocomplete / resolve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Very broad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From £25/mo, 2,000 credits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Good, but check credit cost</w:t>
            </w:r>
          </w:p>
        </w:tc>
      </w:tr>
    </w:tbl>
    <w:p>
      <w:pPr>
        <w:pStyle w:val="Heading1"/>
      </w:pPr>
      <w:r>
        <w:t>3. Pricing notes for this job-portal workflow</w:t>
      </w:r>
    </w:p>
    <w:p>
      <w:pPr>
        <w:spacing w:after="40"/>
      </w:pPr>
      <w:r>
        <w:rPr>
          <w:b/>
        </w:rPr>
        <w:t xml:space="preserve">PropertyData: </w:t>
      </w:r>
      <w:r>
        <w:t>£28/month entry plan with 2,000 API credits. Good if you want postcode/address + coordinates now and richer property data later.</w:t>
      </w:r>
    </w:p>
    <w:p>
      <w:pPr>
        <w:spacing w:after="40"/>
      </w:pPr>
      <w:r>
        <w:rPr>
          <w:b/>
        </w:rPr>
        <w:t xml:space="preserve">Homedata: </w:t>
      </w:r>
      <w:r>
        <w:t>PAYG model is attractive for low or unpredictable volumes. Published model: £1 = 100 tokens; address/property lookups consume tokens depending on endpoint.</w:t>
      </w:r>
    </w:p>
    <w:p>
      <w:pPr>
        <w:spacing w:after="40"/>
      </w:pPr>
      <w:r>
        <w:rPr>
          <w:b/>
        </w:rPr>
        <w:t xml:space="preserve">OS Places: </w:t>
      </w:r>
      <w:r>
        <w:t>Pricing depends on the OS Data Hub/API plan and usage/licensing. Best treated as an authoritative address-and-location option rather than a rich property-intelligence platform.</w:t>
      </w:r>
    </w:p>
    <w:p>
      <w:pPr>
        <w:spacing w:after="40"/>
      </w:pPr>
      <w:r>
        <w:rPr>
          <w:b/>
        </w:rPr>
        <w:t xml:space="preserve">Property Market Intel: </w:t>
      </w:r>
      <w:r>
        <w:t>£28/month entry plan with 2,000 credits. Test the exact postcode → complete property list behaviour before committing.</w:t>
      </w:r>
    </w:p>
    <w:p>
      <w:pPr>
        <w:spacing w:after="80"/>
      </w:pPr>
      <w:r>
        <w:rPr>
          <w:b/>
        </w:rPr>
        <w:t xml:space="preserve">Property Insights: </w:t>
      </w:r>
      <w:r>
        <w:t>£25/month entry plan with 2,000 credits, but resolving a selected address can consume more credits than basic autocomplete, so model cost per completed user address rather than headline monthly price.</w:t>
      </w:r>
    </w:p>
    <w:p>
      <w:r>
        <w:br/>
      </w:r>
    </w:p>
    <w:p>
      <w:pPr>
        <w:pStyle w:val="Heading1"/>
      </w:pPr>
      <w:r>
        <w:t>4. Pros, cons and best fit</w:t>
      </w:r>
    </w:p>
    <w:p>
      <w:pPr>
        <w:spacing w:after="20"/>
      </w:pPr>
      <w:r>
        <w:rPr>
          <w:b/>
          <w:sz w:val="19"/>
        </w:rPr>
        <w:t>PropertyData</w:t>
      </w:r>
    </w:p>
    <w:p>
      <w:pPr>
        <w:spacing w:after="0"/>
        <w:ind w:left="216"/>
      </w:pPr>
      <w:r>
        <w:rPr>
          <w:sz w:val="16"/>
        </w:rPr>
        <w:t>Pros: Directly aligned with postcode → properties → UPRN → coordinates; broad enrichment if the product expands.</w:t>
      </w:r>
    </w:p>
    <w:p>
      <w:pPr>
        <w:spacing w:after="0"/>
        <w:ind w:left="216"/>
      </w:pPr>
      <w:r>
        <w:rPr>
          <w:sz w:val="16"/>
        </w:rPr>
        <w:t>Cons: Credit usage increases if you call multiple enrichment endpoints.</w:t>
      </w:r>
    </w:p>
    <w:p>
      <w:pPr>
        <w:spacing w:after="0"/>
        <w:ind w:left="216"/>
      </w:pPr>
      <w:r>
        <w:rPr>
          <w:sz w:val="16"/>
        </w:rPr>
        <w:t>Best fit: Recommended default for your portal.</w:t>
      </w:r>
    </w:p>
    <w:p>
      <w:pPr>
        <w:spacing w:after="20"/>
      </w:pPr>
      <w:r>
        <w:rPr>
          <w:b/>
          <w:sz w:val="19"/>
        </w:rPr>
        <w:t>Homedata</w:t>
      </w:r>
    </w:p>
    <w:p>
      <w:pPr>
        <w:spacing w:after="0"/>
        <w:ind w:left="216"/>
      </w:pPr>
      <w:r>
        <w:rPr>
          <w:sz w:val="16"/>
        </w:rPr>
        <w:t>Pros: PAYG; good for MVP/variable traffic; address, coordinates and enrichment available.</w:t>
      </w:r>
    </w:p>
    <w:p>
      <w:pPr>
        <w:spacing w:after="0"/>
        <w:ind w:left="216"/>
      </w:pPr>
      <w:r>
        <w:rPr>
          <w:sz w:val="16"/>
        </w:rPr>
        <w:t>Cons: Token model requires monitoring; verify postcode completeness and UK-nation coverage for your exact rollout.</w:t>
      </w:r>
    </w:p>
    <w:p>
      <w:pPr>
        <w:spacing w:after="0"/>
        <w:ind w:left="216"/>
      </w:pPr>
      <w:r>
        <w:rPr>
          <w:sz w:val="16"/>
        </w:rPr>
        <w:t>Best fit: Best cost-flexible alternative.</w:t>
      </w:r>
    </w:p>
    <w:p>
      <w:pPr>
        <w:spacing w:after="20"/>
      </w:pPr>
      <w:r>
        <w:rPr>
          <w:b/>
          <w:sz w:val="19"/>
        </w:rPr>
        <w:t>OS Places API</w:t>
      </w:r>
    </w:p>
    <w:p>
      <w:pPr>
        <w:spacing w:after="0"/>
        <w:ind w:left="216"/>
      </w:pPr>
      <w:r>
        <w:rPr>
          <w:sz w:val="16"/>
        </w:rPr>
        <w:t>Pros: Authoritative OS address/location data; UPRN and coordinates; strong foundation for matching homes to job sites.</w:t>
      </w:r>
    </w:p>
    <w:p>
      <w:pPr>
        <w:spacing w:after="0"/>
        <w:ind w:left="216"/>
      </w:pPr>
      <w:r>
        <w:rPr>
          <w:sz w:val="16"/>
        </w:rPr>
        <w:t>Cons: Less rich for valuations, rents, planning etc.; licensing/pricing structure is less simple than flat SaaS pricing.</w:t>
      </w:r>
    </w:p>
    <w:p>
      <w:pPr>
        <w:spacing w:after="0"/>
        <w:ind w:left="216"/>
      </w:pPr>
      <w:r>
        <w:rPr>
          <w:sz w:val="16"/>
        </w:rPr>
        <w:t>Best fit: Best if you only need reliable address + location.</w:t>
      </w:r>
    </w:p>
    <w:p>
      <w:pPr>
        <w:spacing w:after="20"/>
      </w:pPr>
      <w:r>
        <w:rPr>
          <w:b/>
          <w:sz w:val="19"/>
        </w:rPr>
        <w:t>Property Market Intel</w:t>
      </w:r>
    </w:p>
    <w:p>
      <w:pPr>
        <w:spacing w:after="0"/>
        <w:ind w:left="216"/>
      </w:pPr>
      <w:r>
        <w:rPr>
          <w:sz w:val="16"/>
        </w:rPr>
        <w:t>Pros: UPRN, coordinates and wider property intelligence with transparent entry pricing.</w:t>
      </w:r>
    </w:p>
    <w:p>
      <w:pPr>
        <w:spacing w:after="0"/>
        <w:ind w:left="216"/>
      </w:pPr>
      <w:r>
        <w:rPr>
          <w:sz w:val="16"/>
        </w:rPr>
        <w:t>Cons: Confirm that the production endpoint returns the complete list of properties for an entered postcode, not just search suggestions.</w:t>
      </w:r>
    </w:p>
    <w:p>
      <w:pPr>
        <w:spacing w:after="0"/>
        <w:ind w:left="216"/>
      </w:pPr>
      <w:r>
        <w:rPr>
          <w:sz w:val="16"/>
        </w:rPr>
        <w:t>Best fit: Good alternative after a proof-of-concept test.</w:t>
      </w:r>
    </w:p>
    <w:p>
      <w:pPr>
        <w:spacing w:after="20"/>
      </w:pPr>
      <w:r>
        <w:rPr>
          <w:b/>
          <w:sz w:val="19"/>
        </w:rPr>
        <w:t>Property Insights</w:t>
      </w:r>
    </w:p>
    <w:p>
      <w:pPr>
        <w:spacing w:after="0"/>
        <w:ind w:left="216"/>
      </w:pPr>
      <w:r>
        <w:rPr>
          <w:sz w:val="16"/>
        </w:rPr>
        <w:t>Pros: Broad property-data catalogue and low headline entry price.</w:t>
      </w:r>
    </w:p>
    <w:p>
      <w:pPr>
        <w:spacing w:after="0"/>
        <w:ind w:left="216"/>
      </w:pPr>
      <w:r>
        <w:rPr>
          <w:sz w:val="16"/>
        </w:rPr>
        <w:t>Cons: Per-resolution credit consumption may make frequent address capture more expensive.</w:t>
      </w:r>
    </w:p>
    <w:p>
      <w:pPr>
        <w:spacing w:after="0"/>
        <w:ind w:left="216"/>
      </w:pPr>
      <w:r>
        <w:rPr>
          <w:sz w:val="16"/>
        </w:rPr>
        <w:t>Best fit: Better when rich property data matters more than cheapest address resolution.</w:t>
      </w:r>
    </w:p>
    <w:p>
      <w:pPr>
        <w:pStyle w:val="Heading1"/>
      </w:pPr>
      <w:r>
        <w:t>5. Recommended order for client evaluation</w:t>
      </w:r>
    </w:p>
    <w:p>
      <w:pPr>
        <w:spacing w:after="60"/>
      </w:pPr>
      <w:r>
        <w:rPr>
          <w:b/>
        </w:rPr>
        <w:t>1) PropertyData</w:t>
      </w:r>
      <w:r>
        <w:t xml:space="preserve"> – best overall fit.  </w:t>
      </w:r>
      <w:r>
        <w:rPr>
          <w:b/>
        </w:rPr>
        <w:t>2) Homedata</w:t>
      </w:r>
      <w:r>
        <w:t xml:space="preserve"> – best PAYG alternative.  </w:t>
      </w:r>
      <w:r>
        <w:rPr>
          <w:b/>
        </w:rPr>
        <w:t>3) OS Places</w:t>
      </w:r>
      <w:r>
        <w:t xml:space="preserve"> – best authoritative address-only option.  </w:t>
      </w:r>
      <w:r>
        <w:rPr>
          <w:b/>
        </w:rPr>
        <w:t>4) Property Market Intel</w:t>
      </w:r>
      <w:r>
        <w:t xml:space="preserve"> – test completeness first.  </w:t>
      </w:r>
      <w:r>
        <w:rPr>
          <w:b/>
        </w:rPr>
        <w:t>5) Property Insights</w:t>
      </w:r>
      <w:r>
        <w:t xml:space="preserve"> – broad but potentially higher cost per resolved address.</w:t>
      </w:r>
    </w:p>
    <w:p>
      <w:pPr>
        <w:pStyle w:val="Heading1"/>
      </w:pPr>
      <w:r>
        <w:t>6. Website, API and pricing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736"/>
        <w:gridCol w:w="3384"/>
        <w:gridCol w:w="2448"/>
      </w:tblGrid>
      <w:tr>
        <w:tc>
          <w:tcPr>
            <w:tcW w:type="dxa" w:w="27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Provider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Website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API / Docs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Pricing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PropertyData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9">
              <w:r>
                <w:rPr>
                  <w:color w:val="0563C1"/>
                  <w:u w:val="single"/>
                </w:rPr>
                <w:t>Main site</w:t>
              </w:r>
            </w:hyperlink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API page</w:t>
              </w:r>
            </w:hyperlink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Pricing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Homedata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Main site</w:t>
              </w:r>
            </w:hyperlink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API page</w:t>
              </w:r>
            </w:hyperlink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Pricing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OS Places API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Main site</w:t>
              </w:r>
            </w:hyperlink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API page</w:t>
              </w:r>
            </w:hyperlink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Pricing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Property Market Intel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Main site</w:t>
              </w:r>
            </w:hyperlink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19">
              <w:r>
                <w:rPr>
                  <w:color w:val="0563C1"/>
                  <w:u w:val="single"/>
                </w:rPr>
                <w:t>API page</w:t>
              </w:r>
            </w:hyperlink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20">
              <w:r>
                <w:rPr>
                  <w:color w:val="0563C1"/>
                  <w:u w:val="single"/>
                </w:rPr>
                <w:t>Pricing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Property Insights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21">
              <w:r>
                <w:rPr>
                  <w:color w:val="0563C1"/>
                  <w:u w:val="single"/>
                </w:rPr>
                <w:t>Main site</w:t>
              </w:r>
            </w:hyperlink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22">
              <w:r>
                <w:rPr>
                  <w:color w:val="0563C1"/>
                  <w:u w:val="single"/>
                </w:rPr>
                <w:t>API page</w:t>
              </w:r>
            </w:hyperlink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hyperlink r:id="rId23">
              <w:r>
                <w:rPr>
                  <w:color w:val="0563C1"/>
                  <w:u w:val="single"/>
                </w:rPr>
                <w:t>Pricing</w:t>
              </w:r>
            </w:hyperlink>
          </w:p>
        </w:tc>
      </w:tr>
    </w:tbl>
    <w:p>
      <w:pPr>
        <w:spacing w:before="80" w:after="0"/>
      </w:pPr>
      <w:r>
        <w:rPr>
          <w:b/>
        </w:rPr>
        <w:t xml:space="preserve">Decision note: </w:t>
      </w:r>
      <w:r>
        <w:t>For the current feature, prioritise accurate postcode-to-address coverage and property-level coordinates over large property-data catalogues. If the portal later needs driving distance/time, add a routing API separately.</w:t>
      </w:r>
    </w:p>
    <w:sectPr w:rsidR="00FC693F" w:rsidRPr="0006063C" w:rsidSect="00034616">
      <w:footerReference w:type="default" r:id="rId24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UK Property / Address API Comparison | Job Portal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pertydata.co.uk/" TargetMode="External"/><Relationship Id="rId10" Type="http://schemas.openxmlformats.org/officeDocument/2006/relationships/hyperlink" Target="https://propertydata.co.uk/api" TargetMode="External"/><Relationship Id="rId11" Type="http://schemas.openxmlformats.org/officeDocument/2006/relationships/hyperlink" Target="https://propertydata.co.uk/api/pricing" TargetMode="External"/><Relationship Id="rId12" Type="http://schemas.openxmlformats.org/officeDocument/2006/relationships/hyperlink" Target="https://homedata.co.uk/" TargetMode="External"/><Relationship Id="rId13" Type="http://schemas.openxmlformats.org/officeDocument/2006/relationships/hyperlink" Target="https://homedata.co.uk/uprn-lookup-api" TargetMode="External"/><Relationship Id="rId14" Type="http://schemas.openxmlformats.org/officeDocument/2006/relationships/hyperlink" Target="https://homedata.co.uk/pricing" TargetMode="External"/><Relationship Id="rId15" Type="http://schemas.openxmlformats.org/officeDocument/2006/relationships/hyperlink" Target="https://www.ordnancesurvey.co.uk/" TargetMode="External"/><Relationship Id="rId16" Type="http://schemas.openxmlformats.org/officeDocument/2006/relationships/hyperlink" Target="https://www.ordnancesurvey.co.uk/products/os-places-api" TargetMode="External"/><Relationship Id="rId17" Type="http://schemas.openxmlformats.org/officeDocument/2006/relationships/hyperlink" Target="https://osdatahub.os.uk/plans" TargetMode="External"/><Relationship Id="rId18" Type="http://schemas.openxmlformats.org/officeDocument/2006/relationships/hyperlink" Target="https://www.propertymarketintel.co.uk/" TargetMode="External"/><Relationship Id="rId19" Type="http://schemas.openxmlformats.org/officeDocument/2006/relationships/hyperlink" Target="https://www.propertymarketintel.co.uk/api-docs" TargetMode="External"/><Relationship Id="rId20" Type="http://schemas.openxmlformats.org/officeDocument/2006/relationships/hyperlink" Target="https://www.propertymarketintel.co.uk/api-docs/pricing" TargetMode="External"/><Relationship Id="rId21" Type="http://schemas.openxmlformats.org/officeDocument/2006/relationships/hyperlink" Target="https://propertyinsights.co.uk/" TargetMode="External"/><Relationship Id="rId22" Type="http://schemas.openxmlformats.org/officeDocument/2006/relationships/hyperlink" Target="https://propertyinsights.co.uk/api-hub" TargetMode="External"/><Relationship Id="rId23" Type="http://schemas.openxmlformats.org/officeDocument/2006/relationships/hyperlink" Target="https://www.propertyinsights.co.uk/pricing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