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Architecture Requirements</w:t>
      </w:r>
    </w:p>
    <w:p>
      <w:pPr>
        <w:jc w:val="center"/>
      </w:pPr>
      <w:r>
        <w:rPr>
          <w:i/>
          <w:sz w:val="20"/>
        </w:rPr>
        <w:t>CSCI370 Renter Dispute Resolution Application</w:t>
      </w:r>
    </w:p>
    <w:p>
      <w:r>
        <w:rPr>
          <w:b/>
        </w:rPr>
        <w:t xml:space="preserve">Purpose: </w:t>
      </w:r>
      <w:r>
        <w:t>This document defines the major architecture requirements and provides a high-level architecture diagram for the renter dispute application. The system focuses on two main features: generated renter dispute forms and AI-assisted arbitration between renters and landlords/property managers.</w:t>
      </w:r>
    </w:p>
    <w:p>
      <w:pPr>
        <w:pStyle w:val="Heading1"/>
      </w:pPr>
      <w: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8869680" cy="3827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8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High-level architecture for the renter dispute resolution application.</w:t>
      </w:r>
    </w:p>
    <w:p>
      <w:r>
        <w:br w:type="page"/>
      </w:r>
    </w:p>
    <w:p>
      <w:pPr>
        <w:pStyle w:val="Heading1"/>
      </w:pPr>
      <w:r>
        <w:t>Architecture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2960"/>
      </w:tblGrid>
      <w:tr>
        <w:tc>
          <w:tcPr>
            <w:tcW w:type="dxa" w:w="7272"/>
            <w:vAlign w:val="top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7272"/>
            <w:vAlign w:val="top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Architecture Requirement</w:t>
            </w:r>
          </w:p>
        </w:tc>
      </w:tr>
      <w:tr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AR1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The application shall use a client-server architecture with a browser-based frontend and a backend API.</w:t>
            </w:r>
          </w:p>
        </w:tc>
      </w:tr>
      <w:tr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/>
                <w:sz w:val="18"/>
              </w:rPr>
              <w:t>AR2</w:t>
            </w:r>
          </w:p>
        </w:tc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 w:val="0"/>
                <w:sz w:val="18"/>
              </w:rPr>
              <w:t>The frontend shall communicate only with backend API endpoints and shall not directly access the database, AI service, or file storage.</w:t>
            </w:r>
          </w:p>
        </w:tc>
      </w:tr>
      <w:tr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AR3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The backend shall include separate modules for authentication, dispute case management, evidence management, form generation, AI arbitration, notifications, and administration.</w:t>
            </w:r>
          </w:p>
        </w:tc>
      </w:tr>
      <w:tr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/>
                <w:sz w:val="18"/>
              </w:rPr>
              <w:t>AR4</w:t>
            </w:r>
          </w:p>
        </w:tc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 w:val="0"/>
                <w:sz w:val="18"/>
              </w:rPr>
              <w:t>The application shall store users, dispute cases, parties, intake responses, evidence metadata, generated forms, AI results, and case timeline events in a relational database.</w:t>
            </w:r>
          </w:p>
        </w:tc>
      </w:tr>
      <w:tr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AR5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The application shall store uploaded evidence files in file or object storage while storing searchable metadata in the database.</w:t>
            </w:r>
          </w:p>
        </w:tc>
      </w:tr>
      <w:tr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/>
                <w:sz w:val="18"/>
              </w:rPr>
              <w:t>AR6</w:t>
            </w:r>
          </w:p>
        </w:tc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 w:val="0"/>
                <w:sz w:val="18"/>
              </w:rPr>
              <w:t>The form generation module shall use saved case information and predefined templates to produce downloadable dispute forms.</w:t>
            </w:r>
          </w:p>
        </w:tc>
      </w:tr>
      <w:tr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AR7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The AI arbitration module shall receive structured case summaries from the backend and return a structured result containing summary, key facts, disputed issues, and suggested resolution.</w:t>
            </w:r>
          </w:p>
        </w:tc>
      </w:tr>
      <w:tr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/>
                <w:sz w:val="18"/>
              </w:rPr>
              <w:t>AR8</w:t>
            </w:r>
          </w:p>
        </w:tc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 w:val="0"/>
                <w:sz w:val="18"/>
              </w:rPr>
              <w:t>The application shall save AI arbitration results with timestamps so both sides can reference the generated recommendation later.</w:t>
            </w:r>
          </w:p>
        </w:tc>
      </w:tr>
      <w:tr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AR9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The application shall protect all dispute, evidence, form, and AI result endpoints with authentication and case-level authorization.</w:t>
            </w:r>
          </w:p>
        </w:tc>
      </w:tr>
      <w:tr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/>
                <w:sz w:val="18"/>
              </w:rPr>
              <w:t>AR10</w:t>
            </w:r>
          </w:p>
        </w:tc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 w:val="0"/>
                <w:sz w:val="18"/>
              </w:rPr>
              <w:t>The application shall maintain audit or timeline records for important case actions such as creation, evidence upload, response submission, form generation, and AI arbitration.</w:t>
            </w:r>
          </w:p>
        </w:tc>
      </w:tr>
      <w:tr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AR11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The application shall support deployment behind a reverse proxy that forwards browser requests to the backend application server.</w:t>
            </w:r>
          </w:p>
        </w:tc>
      </w:tr>
      <w:tr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/>
                <w:sz w:val="18"/>
              </w:rPr>
              <w:t>AR12</w:t>
            </w:r>
          </w:p>
        </w:tc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 w:val="0"/>
                <w:sz w:val="18"/>
              </w:rPr>
              <w:t>The application shall handle invalid requests, unauthorized access, upload failures, and AI service failures with clear error responses.</w:t>
            </w:r>
          </w:p>
        </w:tc>
      </w:tr>
      <w:tr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AR13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The application shall use environment-based configuration for database credentials, AI service credentials, file storage paths, and deployment settings.</w:t>
            </w:r>
          </w:p>
        </w:tc>
      </w:tr>
      <w:tr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/>
                <w:sz w:val="18"/>
              </w:rPr>
              <w:t>AR14</w:t>
            </w:r>
          </w:p>
        </w:tc>
        <w:tc>
          <w:tcPr>
            <w:tcW w:type="dxa" w:w="7272"/>
            <w:vAlign w:val="top"/>
            <w:shd w:fill="F3F8FC"/>
          </w:tcPr>
          <w:p>
            <w:r/>
            <w:r>
              <w:rPr>
                <w:rFonts w:ascii="Arial" w:hAnsi="Arial"/>
                <w:b w:val="0"/>
                <w:sz w:val="18"/>
              </w:rPr>
              <w:t>The architecture shall keep the AI arbitrator as a backend-controlled service so users cannot directly send unvalidated prompts to the AI provider.</w:t>
            </w:r>
          </w:p>
        </w:tc>
      </w:tr>
      <w:tr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/>
                <w:sz w:val="18"/>
              </w:rPr>
              <w:t>AR15</w:t>
            </w:r>
          </w:p>
        </w:tc>
        <w:tc>
          <w:tcPr>
            <w:tcW w:type="dxa" w:w="7272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The architecture shall allow project team members to trace stakeholder requirements, functional requirements, architecture requirements, Jira tickets, and GitHub files.</w:t>
            </w:r>
          </w:p>
        </w:tc>
      </w:tr>
    </w:tbl>
    <w:p>
      <w:r>
        <w:br w:type="page"/>
      </w:r>
    </w:p>
    <w:p>
      <w:pPr>
        <w:pStyle w:val="Heading1"/>
      </w:pPr>
      <w:r>
        <w:t>Main Request Flow</w:t>
      </w:r>
    </w:p>
    <w:p>
      <w:pPr>
        <w:pStyle w:val="ListBullet"/>
      </w:pPr>
      <w:r>
        <w:t>A renter or landlord uses the browser-based frontend to access the application.</w:t>
      </w:r>
    </w:p>
    <w:p>
      <w:pPr>
        <w:pStyle w:val="ListBullet"/>
      </w:pPr>
      <w:r>
        <w:t>The frontend sends authenticated requests through the reverse proxy to the backend API.</w:t>
      </w:r>
    </w:p>
    <w:p>
      <w:pPr>
        <w:pStyle w:val="ListBullet"/>
      </w:pPr>
      <w:r>
        <w:t>The backend validates the user, checks case permissions, and routes the request to the correct module.</w:t>
      </w:r>
    </w:p>
    <w:p>
      <w:pPr>
        <w:pStyle w:val="ListBullet"/>
      </w:pPr>
      <w:r>
        <w:t>Case information is stored in the relational database while uploaded evidence files are stored separately in file or object storage.</w:t>
      </w:r>
    </w:p>
    <w:p>
      <w:pPr>
        <w:pStyle w:val="ListBullet"/>
      </w:pPr>
      <w:r>
        <w:t>The form generation service uses saved case data and templates to create downloadable forms.</w:t>
      </w:r>
    </w:p>
    <w:p>
      <w:pPr>
        <w:pStyle w:val="ListBullet"/>
      </w:pPr>
      <w:r>
        <w:t>The AI arbitration service prepares a structured case summary, sends it to the AI provider, and stores the returned non-binding recommendation.</w:t>
      </w:r>
    </w:p>
    <w:p>
      <w:pPr>
        <w:pStyle w:val="Heading1"/>
      </w:pPr>
      <w:r>
        <w:t>Important Design Notes</w:t>
      </w:r>
    </w:p>
    <w:p>
      <w:pPr>
        <w:pStyle w:val="ListBullet"/>
      </w:pPr>
      <w:r>
        <w:t>The AI arbitrator should be treated as a non-binding project-generated recommendation, not as legal advice or a legally enforceable decision.</w:t>
      </w:r>
    </w:p>
    <w:p>
      <w:pPr>
        <w:pStyle w:val="ListBullet"/>
      </w:pPr>
      <w:r>
        <w:t>The frontend should never directly connect to the database, file storage, or AI provider.</w:t>
      </w:r>
    </w:p>
    <w:p>
      <w:pPr>
        <w:pStyle w:val="ListBullet"/>
      </w:pPr>
      <w:r>
        <w:t>Requirement IDs should be referenced in Jira ticket descriptions and GitHub pull requests to support traceability.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