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Descriptive Analysis</w:t>
      </w:r>
    </w:p>
    <w:p>
      <w:r>
        <w:t>(April 2023 – October 2024)</w:t>
      </w:r>
    </w:p>
    <w:p/>
    <w:p>
      <w:r>
        <w:t>The emergency room dataset, covering a period of 19 months, records a total of 9,216 unique patients.</w:t>
      </w:r>
    </w:p>
    <w:p/>
    <w:p>
      <w:r>
        <w:t>Patient Wait Time &amp; Satisfaction</w:t>
      </w:r>
    </w:p>
    <w:p>
      <w:r>
        <w:t>The average wait time was approximately 35.3 minutes, indicating a need for improvement to enhance patient flow.</w:t>
      </w:r>
    </w:p>
    <w:p>
      <w:r>
        <w:t>The average satisfaction score was 4.99 out of 10, suggesting moderate satisfaction and highlighting areas for improving patient experience.</w:t>
      </w:r>
    </w:p>
    <w:p/>
    <w:p>
      <w:r>
        <w:t>Departmental Referrals</w:t>
      </w:r>
    </w:p>
    <w:p>
      <w:r>
        <w:t>A significant number of patients (5,400) did not require referrals.</w:t>
      </w:r>
    </w:p>
    <w:p>
      <w:r>
        <w:t>Among those referred, the most common departments were:</w:t>
      </w:r>
    </w:p>
    <w:p>
      <w:r>
        <w:t>- General Practice: 1,840 cases</w:t>
      </w:r>
    </w:p>
    <w:p>
      <w:r>
        <w:t>- Orthopedics: 995 cases</w:t>
      </w:r>
    </w:p>
    <w:p>
      <w:r>
        <w:t>- Physiotherapy: 276 cases</w:t>
      </w:r>
    </w:p>
    <w:p>
      <w:r>
        <w:t>- Cardiology: 248 cases</w:t>
      </w:r>
    </w:p>
    <w:p/>
    <w:p>
      <w:r>
        <w:t>Peak Busy Periods</w:t>
      </w:r>
    </w:p>
    <w:p>
      <w:r>
        <w:t>The busiest days were:</w:t>
      </w:r>
    </w:p>
    <w:p>
      <w:r>
        <w:t>- Saturday: 1,377 patients</w:t>
      </w:r>
    </w:p>
    <w:p>
      <w:r>
        <w:t>- Thursday: 1,322 patients</w:t>
      </w:r>
    </w:p>
    <w:p>
      <w:r>
        <w:t>- Sunday: 1,318 patients</w:t>
      </w:r>
    </w:p>
    <w:p/>
    <w:p>
      <w:r>
        <w:t>Patient Demographics</w:t>
      </w:r>
    </w:p>
    <w:p>
      <w:r>
        <w:t>Age Groups:</w:t>
      </w:r>
    </w:p>
    <w:p>
      <w:r>
        <w:t>- Adults aged 30–39 years (1,200 patients)</w:t>
      </w:r>
    </w:p>
    <w:p>
      <w:r>
        <w:t>- Young adults aged 20–29 years (1,188 patients)</w:t>
      </w:r>
    </w:p>
    <w:p>
      <w:r>
        <w:t>- Aged 10–19 years (1,179 patients)</w:t>
      </w:r>
    </w:p>
    <w:p/>
    <w:p>
      <w:r>
        <w:t>Race Distribution</w:t>
      </w:r>
    </w:p>
    <w:p>
      <w:r>
        <w:t>- White: 2,571 patients</w:t>
      </w:r>
    </w:p>
    <w:p>
      <w:r>
        <w:t>- African American: 1,951</w:t>
      </w:r>
    </w:p>
    <w:p>
      <w:r>
        <w:t>- Multiracial: 1,557</w:t>
      </w:r>
    </w:p>
    <w:p>
      <w:r>
        <w:t>- Asian: 1,060</w:t>
      </w:r>
    </w:p>
    <w:p>
      <w:r>
        <w:t>1,030 patients declined to identify their race.</w:t>
      </w:r>
    </w:p>
    <w:p/>
    <w:p>
      <w:r>
        <w:t>Admission Patterns</w:t>
      </w:r>
    </w:p>
    <w:p>
      <w:r>
        <w:t>Nearly half of the patients (4,612) were admitted, while the remaining (4,604) were treated and released.</w:t>
      </w:r>
    </w:p>
    <w:p/>
    <w:p>
      <w:r>
        <w:t>Summary</w:t>
      </w:r>
    </w:p>
    <w:p>
      <w:r>
        <w:t>The dataset reveals high patient volumes, moderate satisfaction levels, and frequent referrals to General Practice and Orthopedics.</w:t>
      </w:r>
    </w:p>
    <w:p>
      <w:r>
        <w:t>Saturdays and late-night to early-morning hours are particularly busy.</w:t>
      </w:r>
    </w:p>
    <w:p>
      <w:r>
        <w:t>These insights can help optimize resource allocation and improve patient care in the emergency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