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C68" w:rsidRDefault="0047085E">
      <w:r>
        <w:rPr>
          <w:noProof/>
        </w:rPr>
        <w:drawing>
          <wp:inline distT="0" distB="0" distL="0" distR="0">
            <wp:extent cx="59436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5E" w:rsidRDefault="0047085E"/>
    <w:p w:rsidR="0047085E" w:rsidRDefault="0047085E"/>
    <w:p w:rsidR="0047085E" w:rsidRDefault="0047085E">
      <w:r>
        <w:t>Liquidity stays above the Old highs and lows.</w:t>
      </w:r>
      <w:bookmarkStart w:id="0" w:name="_GoBack"/>
      <w:bookmarkEnd w:id="0"/>
    </w:p>
    <w:sectPr w:rsidR="0047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5E"/>
    <w:rsid w:val="00233C68"/>
    <w:rsid w:val="0047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36DF"/>
  <w15:chartTrackingRefBased/>
  <w15:docId w15:val="{0C6C1827-0CE9-48BA-8492-E3C1E4FA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MUHAMMAD ZAID</cp:lastModifiedBy>
  <cp:revision>1</cp:revision>
  <dcterms:created xsi:type="dcterms:W3CDTF">2025-07-11T05:38:00Z</dcterms:created>
  <dcterms:modified xsi:type="dcterms:W3CDTF">2025-07-11T05:39:00Z</dcterms:modified>
</cp:coreProperties>
</file>