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E7D4" w14:textId="743BDA5B" w:rsidR="00540B6D" w:rsidRPr="003E5595" w:rsidRDefault="002354D2">
      <w:pPr>
        <w:rPr>
          <w:b/>
          <w:bCs/>
          <w:sz w:val="36"/>
          <w:szCs w:val="36"/>
        </w:rPr>
      </w:pPr>
      <w:r w:rsidRPr="003E5595">
        <w:rPr>
          <w:b/>
          <w:bCs/>
          <w:sz w:val="36"/>
          <w:szCs w:val="36"/>
        </w:rPr>
        <w:t xml:space="preserve">Making Your First Transaction on </w:t>
      </w:r>
      <w:proofErr w:type="spellStart"/>
      <w:r w:rsidR="003E5595" w:rsidRPr="003E5595">
        <w:rPr>
          <w:b/>
          <w:bCs/>
          <w:sz w:val="36"/>
          <w:szCs w:val="36"/>
        </w:rPr>
        <w:t>zkSync</w:t>
      </w:r>
      <w:proofErr w:type="spellEnd"/>
    </w:p>
    <w:p w14:paraId="6E83C88F" w14:textId="02807138" w:rsidR="00540B6D" w:rsidRPr="00693499" w:rsidRDefault="00540B6D">
      <w:pPr>
        <w:rPr>
          <w:b/>
          <w:bCs/>
          <w:sz w:val="28"/>
          <w:szCs w:val="28"/>
        </w:rPr>
      </w:pPr>
      <w:r w:rsidRPr="003E5595">
        <w:rPr>
          <w:b/>
          <w:bCs/>
          <w:sz w:val="28"/>
          <w:szCs w:val="28"/>
        </w:rPr>
        <w:t>Introduction</w:t>
      </w:r>
      <w:r w:rsidR="003E5595" w:rsidRPr="003E5595">
        <w:rPr>
          <w:b/>
          <w:bCs/>
          <w:sz w:val="28"/>
          <w:szCs w:val="28"/>
        </w:rPr>
        <w:t>:</w:t>
      </w:r>
    </w:p>
    <w:p w14:paraId="5A22B242" w14:textId="6EB4399B" w:rsidR="00540B6D" w:rsidRDefault="00540B6D">
      <w:r>
        <w:t xml:space="preserve">In this lesson, we will execute a transaction on the </w:t>
      </w:r>
      <w:r w:rsidR="00693499">
        <w:t>“</w:t>
      </w:r>
      <w:proofErr w:type="spellStart"/>
      <w:r>
        <w:t>zkSync</w:t>
      </w:r>
      <w:proofErr w:type="spellEnd"/>
      <w:r>
        <w:t xml:space="preserve"> </w:t>
      </w:r>
      <w:proofErr w:type="spellStart"/>
      <w:r>
        <w:t>testnet</w:t>
      </w:r>
      <w:proofErr w:type="spellEnd"/>
      <w:r w:rsidR="00693499">
        <w:t>”</w:t>
      </w:r>
      <w:r>
        <w:t xml:space="preserve">, also known as </w:t>
      </w:r>
      <w:proofErr w:type="spellStart"/>
      <w:r w:rsidR="00C24C5F">
        <w:t>z</w:t>
      </w:r>
      <w:r>
        <w:t>kSync</w:t>
      </w:r>
      <w:proofErr w:type="spellEnd"/>
      <w:r>
        <w:t xml:space="preserve"> </w:t>
      </w:r>
      <w:proofErr w:type="spellStart"/>
      <w:r>
        <w:t>Sepolia</w:t>
      </w:r>
      <w:proofErr w:type="spellEnd"/>
      <w:r w:rsidR="00C24C5F">
        <w:t xml:space="preserve"> </w:t>
      </w:r>
      <w:r>
        <w:t xml:space="preserve">or </w:t>
      </w:r>
      <w:proofErr w:type="spellStart"/>
      <w:r>
        <w:t>zkSync</w:t>
      </w:r>
      <w:proofErr w:type="spellEnd"/>
      <w:r>
        <w:t xml:space="preserve"> Era </w:t>
      </w:r>
      <w:proofErr w:type="spellStart"/>
      <w:r>
        <w:t>testnet</w:t>
      </w:r>
      <w:proofErr w:type="spellEnd"/>
      <w:r>
        <w:t xml:space="preserve">. We will start by adding </w:t>
      </w:r>
      <w:proofErr w:type="spellStart"/>
      <w:r>
        <w:t>zkSync</w:t>
      </w:r>
      <w:proofErr w:type="spellEnd"/>
      <w:r>
        <w:t xml:space="preserve"> </w:t>
      </w:r>
      <w:proofErr w:type="spellStart"/>
      <w:r>
        <w:t>Sepolia</w:t>
      </w:r>
      <w:proofErr w:type="spellEnd"/>
      <w:r>
        <w:t xml:space="preserve"> to </w:t>
      </w:r>
      <w:proofErr w:type="spellStart"/>
      <w:r>
        <w:t>MetaMask</w:t>
      </w:r>
      <w:proofErr w:type="spellEnd"/>
      <w:r>
        <w:t>, followed by bridging funds to this network, and finally verifying the transaction details.</w:t>
      </w:r>
    </w:p>
    <w:p w14:paraId="07887C09" w14:textId="619F1293" w:rsidR="00540B6D" w:rsidRPr="00822726" w:rsidRDefault="00540B6D">
      <w:pPr>
        <w:rPr>
          <w:b/>
          <w:bCs/>
          <w:sz w:val="28"/>
          <w:szCs w:val="28"/>
        </w:rPr>
      </w:pPr>
      <w:r w:rsidRPr="0063751B">
        <w:rPr>
          <w:b/>
          <w:bCs/>
          <w:sz w:val="28"/>
          <w:szCs w:val="28"/>
        </w:rPr>
        <w:t xml:space="preserve">Adding </w:t>
      </w:r>
      <w:proofErr w:type="spellStart"/>
      <w:r w:rsidRPr="0063751B">
        <w:rPr>
          <w:b/>
          <w:bCs/>
          <w:sz w:val="28"/>
          <w:szCs w:val="28"/>
        </w:rPr>
        <w:t>zkSync</w:t>
      </w:r>
      <w:proofErr w:type="spellEnd"/>
      <w:r w:rsidRPr="0063751B">
        <w:rPr>
          <w:b/>
          <w:bCs/>
          <w:sz w:val="28"/>
          <w:szCs w:val="28"/>
        </w:rPr>
        <w:t xml:space="preserve"> </w:t>
      </w:r>
      <w:proofErr w:type="spellStart"/>
      <w:r w:rsidRPr="0063751B">
        <w:rPr>
          <w:b/>
          <w:bCs/>
          <w:sz w:val="28"/>
          <w:szCs w:val="28"/>
        </w:rPr>
        <w:t>Sepolia</w:t>
      </w:r>
      <w:proofErr w:type="spellEnd"/>
      <w:r w:rsidRPr="0063751B">
        <w:rPr>
          <w:b/>
          <w:bCs/>
          <w:sz w:val="28"/>
          <w:szCs w:val="28"/>
        </w:rPr>
        <w:t xml:space="preserve"> to </w:t>
      </w:r>
      <w:proofErr w:type="spellStart"/>
      <w:r w:rsidRPr="0063751B">
        <w:rPr>
          <w:b/>
          <w:bCs/>
          <w:sz w:val="28"/>
          <w:szCs w:val="28"/>
        </w:rPr>
        <w:t>MetaMask</w:t>
      </w:r>
      <w:proofErr w:type="spellEnd"/>
      <w:r w:rsidR="00822726">
        <w:rPr>
          <w:b/>
          <w:bCs/>
          <w:sz w:val="28"/>
          <w:szCs w:val="28"/>
        </w:rPr>
        <w:t>:</w:t>
      </w:r>
    </w:p>
    <w:p w14:paraId="1A0B183A" w14:textId="65269438" w:rsidR="00540B6D" w:rsidRDefault="00540B6D">
      <w:r w:rsidRPr="00822726">
        <w:rPr>
          <w:b/>
          <w:bCs/>
        </w:rPr>
        <w:t>1. Add the Network:</w:t>
      </w:r>
      <w:r>
        <w:t xml:space="preserve"> search for “</w:t>
      </w:r>
      <w:proofErr w:type="spellStart"/>
      <w:r>
        <w:t>zkSync</w:t>
      </w:r>
      <w:proofErr w:type="spellEnd"/>
      <w:r>
        <w:t xml:space="preserve"> </w:t>
      </w:r>
      <w:proofErr w:type="spellStart"/>
      <w:r>
        <w:t>Sepolia</w:t>
      </w:r>
      <w:proofErr w:type="spellEnd"/>
      <w:r>
        <w:t xml:space="preserve"> </w:t>
      </w:r>
      <w:proofErr w:type="spellStart"/>
      <w:r>
        <w:t>Testnet</w:t>
      </w:r>
      <w:proofErr w:type="spellEnd"/>
      <w:r>
        <w:t xml:space="preserve">” on </w:t>
      </w:r>
      <w:proofErr w:type="spellStart"/>
      <w:r>
        <w:t>Chainlist</w:t>
      </w:r>
      <w:proofErr w:type="spellEnd"/>
      <w:r w:rsidR="00B00403">
        <w:t xml:space="preserve"> </w:t>
      </w:r>
      <w:r>
        <w:t>(</w:t>
      </w:r>
      <w:hyperlink r:id="rId5" w:history="1">
        <w:r w:rsidRPr="007A56D5">
          <w:rPr>
            <w:rStyle w:val="Hyperlink"/>
          </w:rPr>
          <w:t>https://chainlist.org/</w:t>
        </w:r>
      </w:hyperlink>
      <w:r>
        <w:t xml:space="preserve">), connect it to your wallet, and add the network by following the confirmation dialogs. Ensure </w:t>
      </w:r>
      <w:proofErr w:type="spellStart"/>
      <w:r>
        <w:t>testnets</w:t>
      </w:r>
      <w:proofErr w:type="spellEnd"/>
      <w:r>
        <w:t xml:space="preserve"> are included in your search.</w:t>
      </w:r>
    </w:p>
    <w:p w14:paraId="298BA3CD" w14:textId="35938514" w:rsidR="00540B6D" w:rsidRDefault="00540B6D">
      <w:r w:rsidRPr="00B00403">
        <w:rPr>
          <w:b/>
          <w:bCs/>
        </w:rPr>
        <w:t>2. Check Balance:</w:t>
      </w:r>
      <w:r>
        <w:t xml:space="preserve"> you can view your </w:t>
      </w:r>
      <w:proofErr w:type="spellStart"/>
      <w:r>
        <w:t>Sepolia</w:t>
      </w:r>
      <w:proofErr w:type="spellEnd"/>
      <w:r>
        <w:t xml:space="preserve"> balance on </w:t>
      </w:r>
      <w:proofErr w:type="spellStart"/>
      <w:r>
        <w:t>MetaMask</w:t>
      </w:r>
      <w:proofErr w:type="spellEnd"/>
      <w:r>
        <w:t xml:space="preserve"> or on </w:t>
      </w:r>
      <w:proofErr w:type="spellStart"/>
      <w:r>
        <w:t>zkSync</w:t>
      </w:r>
      <w:proofErr w:type="spellEnd"/>
      <w:r>
        <w:t xml:space="preserve"> Era </w:t>
      </w:r>
      <w:proofErr w:type="spellStart"/>
      <w:r>
        <w:t>Sepolia</w:t>
      </w:r>
      <w:proofErr w:type="spellEnd"/>
      <w:r>
        <w:t xml:space="preserve"> Block Explorer</w:t>
      </w:r>
      <w:r w:rsidR="00CF3C5F">
        <w:t xml:space="preserve"> </w:t>
      </w:r>
      <w:r>
        <w:t>(</w:t>
      </w:r>
      <w:hyperlink r:id="rId6" w:history="1">
        <w:r w:rsidRPr="007A56D5">
          <w:rPr>
            <w:rStyle w:val="Hyperlink"/>
          </w:rPr>
          <w:t>https://sepolia.explorer.zksync.io/</w:t>
        </w:r>
      </w:hyperlink>
      <w:r>
        <w:t xml:space="preserve">). To view your account summary you can copy your </w:t>
      </w:r>
      <w:proofErr w:type="spellStart"/>
      <w:r>
        <w:t>MetaMask</w:t>
      </w:r>
      <w:proofErr w:type="spellEnd"/>
      <w:r>
        <w:t xml:space="preserve"> address and paste it into the Block Explorer.</w:t>
      </w:r>
    </w:p>
    <w:p w14:paraId="41EF5220" w14:textId="05900053" w:rsidR="00540B6D" w:rsidRPr="008658E3" w:rsidRDefault="00540B6D">
      <w:pPr>
        <w:rPr>
          <w:b/>
          <w:bCs/>
          <w:sz w:val="28"/>
          <w:szCs w:val="28"/>
        </w:rPr>
      </w:pPr>
      <w:r w:rsidRPr="008658E3">
        <w:rPr>
          <w:b/>
          <w:bCs/>
          <w:sz w:val="28"/>
          <w:szCs w:val="28"/>
        </w:rPr>
        <w:t>Bridging Funds</w:t>
      </w:r>
      <w:r w:rsidR="008658E3" w:rsidRPr="008658E3">
        <w:rPr>
          <w:b/>
          <w:bCs/>
          <w:sz w:val="28"/>
          <w:szCs w:val="28"/>
        </w:rPr>
        <w:t>:</w:t>
      </w:r>
    </w:p>
    <w:p w14:paraId="32CFEA62" w14:textId="1EBAFD9F" w:rsidR="00540B6D" w:rsidRDefault="00540B6D">
      <w:r>
        <w:t xml:space="preserve">Our first transaction involves receiving funds. There are two ways to receive funds on </w:t>
      </w:r>
      <w:proofErr w:type="spellStart"/>
      <w:r>
        <w:t>zkSync</w:t>
      </w:r>
      <w:proofErr w:type="spellEnd"/>
      <w:r>
        <w:t>:</w:t>
      </w:r>
    </w:p>
    <w:p w14:paraId="0604F943" w14:textId="7ACDD4AB" w:rsidR="00540B6D" w:rsidRDefault="00540B6D" w:rsidP="00307FA1">
      <w:pPr>
        <w:pStyle w:val="ListParagraph"/>
        <w:numPr>
          <w:ilvl w:val="0"/>
          <w:numId w:val="2"/>
        </w:numPr>
      </w:pPr>
      <w:r w:rsidRPr="00307FA1">
        <w:rPr>
          <w:b/>
          <w:bCs/>
        </w:rPr>
        <w:t>Using a Faucet:</w:t>
      </w:r>
      <w:r>
        <w:t xml:space="preserve"> This method requires the use of APIs or GitHub sign-in.</w:t>
      </w:r>
    </w:p>
    <w:p w14:paraId="7D05E6F1" w14:textId="2BA236C6" w:rsidR="00540B6D" w:rsidRDefault="00540B6D" w:rsidP="002C1206">
      <w:pPr>
        <w:pStyle w:val="ListParagraph"/>
        <w:numPr>
          <w:ilvl w:val="0"/>
          <w:numId w:val="2"/>
        </w:numPr>
      </w:pPr>
      <w:r w:rsidRPr="002C1206">
        <w:rPr>
          <w:b/>
          <w:bCs/>
        </w:rPr>
        <w:t xml:space="preserve">Bridging: </w:t>
      </w:r>
      <w:r>
        <w:t>Our recommended method, that involves transferring funds from one chain (</w:t>
      </w:r>
      <w:proofErr w:type="spellStart"/>
      <w:r>
        <w:t>Sepolia</w:t>
      </w:r>
      <w:proofErr w:type="spellEnd"/>
      <w:r>
        <w:t>) to another (</w:t>
      </w:r>
      <w:proofErr w:type="spellStart"/>
      <w:r>
        <w:t>zkSync</w:t>
      </w:r>
      <w:proofErr w:type="spellEnd"/>
      <w:r>
        <w:t xml:space="preserve"> </w:t>
      </w:r>
      <w:proofErr w:type="spellStart"/>
      <w:r>
        <w:t>Sepolia</w:t>
      </w:r>
      <w:proofErr w:type="spellEnd"/>
      <w:r>
        <w:t>). There are two types of bridging mechanisms:</w:t>
      </w:r>
    </w:p>
    <w:p w14:paraId="37A4ACB9" w14:textId="5CB4B826" w:rsidR="00540B6D" w:rsidRDefault="00540B6D" w:rsidP="00E011F1">
      <w:pPr>
        <w:ind w:left="720"/>
      </w:pPr>
      <w:r w:rsidRPr="00E011F1">
        <w:rPr>
          <w:b/>
          <w:bCs/>
        </w:rPr>
        <w:t>Locking and Unlocking</w:t>
      </w:r>
      <w:r w:rsidRPr="00F81D14">
        <w:rPr>
          <w:b/>
          <w:bCs/>
        </w:rPr>
        <w:t>:</w:t>
      </w:r>
      <w:r>
        <w:t xml:space="preserve"> Tokens are locked on the source chain and unlocked on the destination chain</w:t>
      </w:r>
      <w:r w:rsidR="00E011F1">
        <w:t>.</w:t>
      </w:r>
    </w:p>
    <w:p w14:paraId="444A6C22" w14:textId="4DB7D836" w:rsidR="00540B6D" w:rsidRDefault="00540B6D" w:rsidP="000175AA">
      <w:pPr>
        <w:ind w:left="720"/>
      </w:pPr>
      <w:r w:rsidRPr="00F81D14">
        <w:rPr>
          <w:b/>
          <w:bCs/>
        </w:rPr>
        <w:t>Minting and Burning:</w:t>
      </w:r>
      <w:r>
        <w:t xml:space="preserve"> Tokens are burned on the source chain and minted on the destination chain. The bridge protocol must control the token supply to manage this process. An example is CCTV</w:t>
      </w:r>
      <w:r w:rsidR="00D63635">
        <w:t xml:space="preserve"> </w:t>
      </w:r>
      <w:r>
        <w:t>(</w:t>
      </w:r>
      <w:hyperlink r:id="rId7" w:history="1">
        <w:r w:rsidRPr="007A56D5">
          <w:rPr>
            <w:rStyle w:val="Hyperlink"/>
          </w:rPr>
          <w:t>https://www.circle.com/en/cross-chain-transfer-protocol</w:t>
        </w:r>
      </w:hyperlink>
      <w:r>
        <w:t>) by the Circle team, where USDC is burned and minted to facilitate bridging.</w:t>
      </w:r>
    </w:p>
    <w:p w14:paraId="40AF8874" w14:textId="1AFBC652" w:rsidR="00540B6D" w:rsidRDefault="00540B6D" w:rsidP="005126A4">
      <w:pPr>
        <w:pStyle w:val="ListParagraph"/>
        <w:numPr>
          <w:ilvl w:val="0"/>
          <w:numId w:val="2"/>
        </w:numPr>
      </w:pPr>
      <w:r w:rsidRPr="00BA5BE8">
        <w:rPr>
          <w:b/>
          <w:bCs/>
        </w:rPr>
        <w:t xml:space="preserve">Get </w:t>
      </w:r>
      <w:proofErr w:type="spellStart"/>
      <w:r w:rsidRPr="00BA5BE8">
        <w:rPr>
          <w:b/>
          <w:bCs/>
        </w:rPr>
        <w:t>Sepolia</w:t>
      </w:r>
      <w:proofErr w:type="spellEnd"/>
      <w:r w:rsidRPr="00BA5BE8">
        <w:rPr>
          <w:b/>
          <w:bCs/>
        </w:rPr>
        <w:t xml:space="preserve"> ETH:</w:t>
      </w:r>
      <w:r>
        <w:t xml:space="preserve"> Use the recommended faucet</w:t>
      </w:r>
      <w:r w:rsidR="00BA5BE8">
        <w:t xml:space="preserve"> </w:t>
      </w:r>
      <w:r>
        <w:t>(</w:t>
      </w:r>
      <w:hyperlink r:id="rId8" w:history="1">
        <w:r w:rsidRPr="007A56D5">
          <w:rPr>
            <w:rStyle w:val="Hyperlink"/>
          </w:rPr>
          <w:t>https://cloud.google.com/application/web3/faucet/ethereum/sepolia</w:t>
        </w:r>
      </w:hyperlink>
      <w:r>
        <w:t xml:space="preserve">) to obtain </w:t>
      </w:r>
      <w:proofErr w:type="spellStart"/>
      <w:r>
        <w:t>Sepolia</w:t>
      </w:r>
      <w:proofErr w:type="spellEnd"/>
      <w:r>
        <w:t xml:space="preserve"> ETH. With 0.05 </w:t>
      </w:r>
      <w:proofErr w:type="spellStart"/>
      <w:r>
        <w:t>Sepolia</w:t>
      </w:r>
      <w:proofErr w:type="spellEnd"/>
      <w:r>
        <w:t xml:space="preserve"> ETH, you’re ready to transfer to </w:t>
      </w:r>
      <w:proofErr w:type="spellStart"/>
      <w:r>
        <w:t>zkSync</w:t>
      </w:r>
      <w:proofErr w:type="spellEnd"/>
      <w:r>
        <w:t xml:space="preserve"> </w:t>
      </w:r>
      <w:proofErr w:type="spellStart"/>
      <w:r>
        <w:t>Sepolia</w:t>
      </w:r>
      <w:proofErr w:type="spellEnd"/>
      <w:r>
        <w:t>.</w:t>
      </w:r>
    </w:p>
    <w:p w14:paraId="4A662EA6" w14:textId="03EE5048" w:rsidR="00540B6D" w:rsidRDefault="00540B6D" w:rsidP="00EF0E53">
      <w:pPr>
        <w:ind w:left="720"/>
      </w:pPr>
      <w:r w:rsidRPr="005126A4">
        <w:rPr>
          <w:b/>
          <w:bCs/>
        </w:rPr>
        <w:t xml:space="preserve">Note: </w:t>
      </w:r>
      <w:r>
        <w:t xml:space="preserve">If you encounter a message requiring 0.001 ETH on the </w:t>
      </w:r>
      <w:proofErr w:type="spellStart"/>
      <w:r>
        <w:t>mainnet</w:t>
      </w:r>
      <w:proofErr w:type="spellEnd"/>
      <w:r>
        <w:t>, wait 10-20 minutes before trying again.</w:t>
      </w:r>
    </w:p>
    <w:p w14:paraId="3F4239B7" w14:textId="583DCF73" w:rsidR="00540B6D" w:rsidRDefault="00540B6D" w:rsidP="00EF0E53">
      <w:pPr>
        <w:pStyle w:val="ListParagraph"/>
        <w:numPr>
          <w:ilvl w:val="0"/>
          <w:numId w:val="2"/>
        </w:numPr>
      </w:pPr>
      <w:r w:rsidRPr="00234BC1">
        <w:rPr>
          <w:b/>
          <w:bCs/>
        </w:rPr>
        <w:t xml:space="preserve">Use the </w:t>
      </w:r>
      <w:proofErr w:type="spellStart"/>
      <w:r w:rsidRPr="00234BC1">
        <w:rPr>
          <w:b/>
          <w:bCs/>
        </w:rPr>
        <w:t>zkSync</w:t>
      </w:r>
      <w:proofErr w:type="spellEnd"/>
      <w:r w:rsidRPr="00234BC1">
        <w:rPr>
          <w:b/>
          <w:bCs/>
        </w:rPr>
        <w:t xml:space="preserve"> Bridge:</w:t>
      </w:r>
      <w:r>
        <w:t xml:space="preserve"> Visit the </w:t>
      </w:r>
      <w:proofErr w:type="spellStart"/>
      <w:r>
        <w:t>zkSync</w:t>
      </w:r>
      <w:proofErr w:type="spellEnd"/>
      <w:r>
        <w:t xml:space="preserve"> bridge</w:t>
      </w:r>
      <w:r w:rsidR="00234BC1">
        <w:t xml:space="preserve"> </w:t>
      </w:r>
      <w:r>
        <w:t>(</w:t>
      </w:r>
      <w:hyperlink r:id="rId9" w:history="1">
        <w:r w:rsidRPr="007A56D5">
          <w:rPr>
            <w:rStyle w:val="Hyperlink"/>
          </w:rPr>
          <w:t>https://portal.zksync.io/bridge</w:t>
        </w:r>
      </w:hyperlink>
      <w:r>
        <w:t xml:space="preserve">) and ensure you are on the </w:t>
      </w:r>
      <w:proofErr w:type="spellStart"/>
      <w:r>
        <w:t>testnet</w:t>
      </w:r>
      <w:proofErr w:type="spellEnd"/>
      <w:r>
        <w:t xml:space="preserve">. Connect </w:t>
      </w:r>
      <w:proofErr w:type="spellStart"/>
      <w:r>
        <w:t>MetaMask</w:t>
      </w:r>
      <w:proofErr w:type="spellEnd"/>
      <w:r>
        <w:t xml:space="preserve"> to the bridge and confirm a transaction (e.g., 0.025 </w:t>
      </w:r>
      <w:proofErr w:type="spellStart"/>
      <w:r>
        <w:t>Sepolia</w:t>
      </w:r>
      <w:proofErr w:type="spellEnd"/>
      <w:r>
        <w:t xml:space="preserve"> ETH).</w:t>
      </w:r>
    </w:p>
    <w:p w14:paraId="6AACF686" w14:textId="522E660F" w:rsidR="00540B6D" w:rsidRDefault="00540B6D" w:rsidP="003E4D92">
      <w:pPr>
        <w:ind w:left="360"/>
      </w:pPr>
      <w:r w:rsidRPr="003E4D92">
        <w:rPr>
          <w:b/>
          <w:bCs/>
        </w:rPr>
        <w:t>5. Verify the Transaction:</w:t>
      </w:r>
      <w:r>
        <w:t xml:space="preserve"> Check the transaction on the </w:t>
      </w:r>
      <w:proofErr w:type="spellStart"/>
      <w:r>
        <w:t>zkSync</w:t>
      </w:r>
      <w:proofErr w:type="spellEnd"/>
      <w:r>
        <w:t xml:space="preserve"> </w:t>
      </w:r>
      <w:proofErr w:type="spellStart"/>
      <w:r>
        <w:t>Sepolia</w:t>
      </w:r>
      <w:proofErr w:type="spellEnd"/>
      <w:r>
        <w:t xml:space="preserve"> block explorer by pasting your wallet address into the search bar to see the transaction details and status.</w:t>
      </w:r>
    </w:p>
    <w:p w14:paraId="087A52BE" w14:textId="680AB0CB" w:rsidR="00540B6D" w:rsidRDefault="00540B6D" w:rsidP="00010A8C">
      <w:pPr>
        <w:ind w:left="360"/>
      </w:pPr>
      <w:r>
        <w:t xml:space="preserve"> </w:t>
      </w:r>
      <w:r w:rsidRPr="00010A8C">
        <w:rPr>
          <w:b/>
          <w:bCs/>
        </w:rPr>
        <w:t>Transaction Status:</w:t>
      </w:r>
      <w:r>
        <w:t xml:space="preserve"> Once processed, you can view the transaction information, including its status.</w:t>
      </w:r>
    </w:p>
    <w:p w14:paraId="57C4F141" w14:textId="14B6FA63" w:rsidR="00540B6D" w:rsidRDefault="00540B6D" w:rsidP="00E71C3F">
      <w:pPr>
        <w:ind w:left="360"/>
      </w:pPr>
      <w:r w:rsidRPr="005D4404">
        <w:rPr>
          <w:b/>
          <w:bCs/>
        </w:rPr>
        <w:t>Finality:</w:t>
      </w:r>
      <w:r>
        <w:t xml:space="preserve"> As per the </w:t>
      </w:r>
      <w:proofErr w:type="spellStart"/>
      <w:r>
        <w:t>zkSync</w:t>
      </w:r>
      <w:proofErr w:type="spellEnd"/>
      <w:r>
        <w:t xml:space="preserve"> documentation on finality</w:t>
      </w:r>
      <w:r w:rsidR="00E71C3F">
        <w:t xml:space="preserve"> </w:t>
      </w:r>
      <w:r>
        <w:t>(</w:t>
      </w:r>
      <w:hyperlink r:id="rId10" w:history="1">
        <w:r w:rsidRPr="007A56D5">
          <w:rPr>
            <w:rStyle w:val="Hyperlink"/>
          </w:rPr>
          <w:t>https://docs.zksync.io/zk-stack/concepts/finality</w:t>
        </w:r>
      </w:hyperlink>
      <w:r>
        <w:t xml:space="preserve">), this term refers to the time from sending the transaction to when it is considered settled. On </w:t>
      </w:r>
      <w:proofErr w:type="spellStart"/>
      <w:r>
        <w:t>Ethereum</w:t>
      </w:r>
      <w:proofErr w:type="spellEnd"/>
      <w:r>
        <w:t xml:space="preserve">, this takes about 13 minutes, but on </w:t>
      </w:r>
      <w:proofErr w:type="spellStart"/>
      <w:r>
        <w:t>zkSync</w:t>
      </w:r>
      <w:proofErr w:type="spellEnd"/>
      <w:r>
        <w:t xml:space="preserve"> it can take approximately 24 hours.</w:t>
      </w:r>
    </w:p>
    <w:p w14:paraId="6BB5A306" w14:textId="2A4F79D2" w:rsidR="00540B6D" w:rsidRDefault="00540B6D" w:rsidP="006C15FC">
      <w:pPr>
        <w:ind w:left="360"/>
      </w:pPr>
      <w:r>
        <w:t>During this period, transactions are displayed instantly in the UI and can be further transferred, but full finality should be awaited to ensure they are fully received and validated using ZK proofs.</w:t>
      </w:r>
    </w:p>
    <w:p w14:paraId="4754295E" w14:textId="6E62934A" w:rsidR="00540B6D" w:rsidRPr="00765E97" w:rsidRDefault="00540B6D">
      <w:pPr>
        <w:rPr>
          <w:b/>
          <w:bCs/>
          <w:sz w:val="28"/>
          <w:szCs w:val="28"/>
        </w:rPr>
      </w:pPr>
      <w:r w:rsidRPr="00765E97">
        <w:rPr>
          <w:b/>
          <w:bCs/>
          <w:sz w:val="28"/>
          <w:szCs w:val="28"/>
        </w:rPr>
        <w:t>Conclusion</w:t>
      </w:r>
      <w:r w:rsidR="00765E97" w:rsidRPr="00765E97">
        <w:rPr>
          <w:b/>
          <w:bCs/>
          <w:sz w:val="28"/>
          <w:szCs w:val="28"/>
        </w:rPr>
        <w:t>:</w:t>
      </w:r>
    </w:p>
    <w:p w14:paraId="02C3DE0F" w14:textId="77777777" w:rsidR="00540B6D" w:rsidRDefault="00540B6D" w:rsidP="000E340D">
      <w:r>
        <w:t xml:space="preserve">In this lesson, we explored how to make a transaction to transfer funds on the </w:t>
      </w:r>
      <w:proofErr w:type="spellStart"/>
      <w:r>
        <w:t>zkSync</w:t>
      </w:r>
      <w:proofErr w:type="spellEnd"/>
      <w:r>
        <w:t xml:space="preserve"> </w:t>
      </w:r>
      <w:proofErr w:type="spellStart"/>
      <w:r>
        <w:t>testnet</w:t>
      </w:r>
      <w:proofErr w:type="spellEnd"/>
      <w:r>
        <w:t xml:space="preserve">. We began by adding </w:t>
      </w:r>
      <w:proofErr w:type="spellStart"/>
      <w:r>
        <w:t>zkSync</w:t>
      </w:r>
      <w:proofErr w:type="spellEnd"/>
      <w:r>
        <w:t xml:space="preserve"> </w:t>
      </w:r>
      <w:proofErr w:type="spellStart"/>
      <w:r>
        <w:t>Sepolia</w:t>
      </w:r>
      <w:proofErr w:type="spellEnd"/>
      <w:r>
        <w:t xml:space="preserve"> to </w:t>
      </w:r>
      <w:proofErr w:type="spellStart"/>
      <w:r>
        <w:t>MetaMask</w:t>
      </w:r>
      <w:proofErr w:type="spellEnd"/>
      <w:r>
        <w:t xml:space="preserve">, we bridged funds to </w:t>
      </w:r>
      <w:proofErr w:type="spellStart"/>
      <w:r>
        <w:t>zkSync</w:t>
      </w:r>
      <w:proofErr w:type="spellEnd"/>
      <w:r>
        <w:t xml:space="preserve"> </w:t>
      </w:r>
      <w:proofErr w:type="spellStart"/>
      <w:r>
        <w:t>Sepolia</w:t>
      </w:r>
      <w:proofErr w:type="spellEnd"/>
      <w:r>
        <w:t xml:space="preserve"> and we discussed two methods for receiving funds: using a faucet and bridging. For bridging, we covered the mechanisms of locking and unlocking, as well as minting and burning tokens. We obtained </w:t>
      </w:r>
      <w:proofErr w:type="spellStart"/>
      <w:r>
        <w:t>Sepolia</w:t>
      </w:r>
      <w:proofErr w:type="spellEnd"/>
      <w:r>
        <w:t xml:space="preserve"> ETH from a recommended faucet and used the official </w:t>
      </w:r>
      <w:proofErr w:type="spellStart"/>
      <w:r>
        <w:t>zkSync</w:t>
      </w:r>
      <w:proofErr w:type="spellEnd"/>
      <w:r>
        <w:t xml:space="preserve"> bridge to transfer the funds.</w:t>
      </w:r>
    </w:p>
    <w:p w14:paraId="24E03D09" w14:textId="77777777" w:rsidR="00540B6D" w:rsidRDefault="00540B6D"/>
    <w:p w14:paraId="07703F4B" w14:textId="77777777" w:rsidR="00F57933" w:rsidRDefault="00F57933"/>
    <w:sectPr w:rsidR="00F5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A60"/>
    <w:multiLevelType w:val="hybridMultilevel"/>
    <w:tmpl w:val="7EE6CC62"/>
    <w:lvl w:ilvl="0" w:tplc="FFFFFFF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8215C"/>
    <w:multiLevelType w:val="hybridMultilevel"/>
    <w:tmpl w:val="5B2881D8"/>
    <w:lvl w:ilvl="0" w:tplc="FFFFFFFF">
      <w:start w:val="1"/>
      <w:numFmt w:val="decimal"/>
      <w:lvlText w:val="%1."/>
      <w:lvlJc w:val="left"/>
      <w:pPr>
        <w:ind w:left="720" w:hanging="360"/>
      </w:pPr>
      <w:rPr>
        <w:rFonts w:hint="default"/>
      </w:rPr>
    </w:lvl>
    <w:lvl w:ilvl="1" w:tplc="D8CCA516">
      <w:start w:val="2"/>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226288">
    <w:abstractNumId w:val="1"/>
  </w:num>
  <w:num w:numId="2" w16cid:durableId="7556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33"/>
    <w:rsid w:val="00010A8C"/>
    <w:rsid w:val="000175AA"/>
    <w:rsid w:val="0009353D"/>
    <w:rsid w:val="000E340D"/>
    <w:rsid w:val="00196EDE"/>
    <w:rsid w:val="001B45A9"/>
    <w:rsid w:val="00234BC1"/>
    <w:rsid w:val="002354D2"/>
    <w:rsid w:val="002C1206"/>
    <w:rsid w:val="00307FA1"/>
    <w:rsid w:val="003E4D92"/>
    <w:rsid w:val="003E5595"/>
    <w:rsid w:val="005126A4"/>
    <w:rsid w:val="00540B6D"/>
    <w:rsid w:val="005D4404"/>
    <w:rsid w:val="0063751B"/>
    <w:rsid w:val="00693499"/>
    <w:rsid w:val="006C15FC"/>
    <w:rsid w:val="006D0FBB"/>
    <w:rsid w:val="00765E97"/>
    <w:rsid w:val="00822726"/>
    <w:rsid w:val="008658E3"/>
    <w:rsid w:val="008D2768"/>
    <w:rsid w:val="00B00403"/>
    <w:rsid w:val="00BA5BE8"/>
    <w:rsid w:val="00C24C5F"/>
    <w:rsid w:val="00CF3C5F"/>
    <w:rsid w:val="00D10DEE"/>
    <w:rsid w:val="00D63635"/>
    <w:rsid w:val="00E011F1"/>
    <w:rsid w:val="00E71C3F"/>
    <w:rsid w:val="00EF0E53"/>
    <w:rsid w:val="00F57933"/>
    <w:rsid w:val="00F8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1516F"/>
  <w15:chartTrackingRefBased/>
  <w15:docId w15:val="{3224588D-3B56-8C4E-BD15-C65B9DF9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933"/>
    <w:rPr>
      <w:rFonts w:eastAsiaTheme="majorEastAsia" w:cstheme="majorBidi"/>
      <w:color w:val="272727" w:themeColor="text1" w:themeTint="D8"/>
    </w:rPr>
  </w:style>
  <w:style w:type="paragraph" w:styleId="Title">
    <w:name w:val="Title"/>
    <w:basedOn w:val="Normal"/>
    <w:next w:val="Normal"/>
    <w:link w:val="TitleChar"/>
    <w:uiPriority w:val="10"/>
    <w:qFormat/>
    <w:rsid w:val="00F57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933"/>
    <w:pPr>
      <w:spacing w:before="160"/>
      <w:jc w:val="center"/>
    </w:pPr>
    <w:rPr>
      <w:i/>
      <w:iCs/>
      <w:color w:val="404040" w:themeColor="text1" w:themeTint="BF"/>
    </w:rPr>
  </w:style>
  <w:style w:type="character" w:customStyle="1" w:styleId="QuoteChar">
    <w:name w:val="Quote Char"/>
    <w:basedOn w:val="DefaultParagraphFont"/>
    <w:link w:val="Quote"/>
    <w:uiPriority w:val="29"/>
    <w:rsid w:val="00F57933"/>
    <w:rPr>
      <w:i/>
      <w:iCs/>
      <w:color w:val="404040" w:themeColor="text1" w:themeTint="BF"/>
    </w:rPr>
  </w:style>
  <w:style w:type="paragraph" w:styleId="ListParagraph">
    <w:name w:val="List Paragraph"/>
    <w:basedOn w:val="Normal"/>
    <w:uiPriority w:val="34"/>
    <w:qFormat/>
    <w:rsid w:val="00F57933"/>
    <w:pPr>
      <w:ind w:left="720"/>
      <w:contextualSpacing/>
    </w:pPr>
  </w:style>
  <w:style w:type="character" w:styleId="IntenseEmphasis">
    <w:name w:val="Intense Emphasis"/>
    <w:basedOn w:val="DefaultParagraphFont"/>
    <w:uiPriority w:val="21"/>
    <w:qFormat/>
    <w:rsid w:val="00F57933"/>
    <w:rPr>
      <w:i/>
      <w:iCs/>
      <w:color w:val="0F4761" w:themeColor="accent1" w:themeShade="BF"/>
    </w:rPr>
  </w:style>
  <w:style w:type="paragraph" w:styleId="IntenseQuote">
    <w:name w:val="Intense Quote"/>
    <w:basedOn w:val="Normal"/>
    <w:next w:val="Normal"/>
    <w:link w:val="IntenseQuoteChar"/>
    <w:uiPriority w:val="30"/>
    <w:qFormat/>
    <w:rsid w:val="00F57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933"/>
    <w:rPr>
      <w:i/>
      <w:iCs/>
      <w:color w:val="0F4761" w:themeColor="accent1" w:themeShade="BF"/>
    </w:rPr>
  </w:style>
  <w:style w:type="character" w:styleId="IntenseReference">
    <w:name w:val="Intense Reference"/>
    <w:basedOn w:val="DefaultParagraphFont"/>
    <w:uiPriority w:val="32"/>
    <w:qFormat/>
    <w:rsid w:val="00F57933"/>
    <w:rPr>
      <w:b/>
      <w:bCs/>
      <w:smallCaps/>
      <w:color w:val="0F4761" w:themeColor="accent1" w:themeShade="BF"/>
      <w:spacing w:val="5"/>
    </w:rPr>
  </w:style>
  <w:style w:type="character" w:styleId="Hyperlink">
    <w:name w:val="Hyperlink"/>
    <w:basedOn w:val="DefaultParagraphFont"/>
    <w:uiPriority w:val="99"/>
    <w:unhideWhenUsed/>
    <w:rsid w:val="00540B6D"/>
    <w:rPr>
      <w:color w:val="467886" w:themeColor="hyperlink"/>
      <w:u w:val="single"/>
    </w:rPr>
  </w:style>
  <w:style w:type="character" w:styleId="UnresolvedMention">
    <w:name w:val="Unresolved Mention"/>
    <w:basedOn w:val="DefaultParagraphFont"/>
    <w:uiPriority w:val="99"/>
    <w:semiHidden/>
    <w:unhideWhenUsed/>
    <w:rsid w:val="00540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lication/web3/faucet/ethereum/sepolia" TargetMode="External" /><Relationship Id="rId3" Type="http://schemas.openxmlformats.org/officeDocument/2006/relationships/settings" Target="settings.xml" /><Relationship Id="rId7" Type="http://schemas.openxmlformats.org/officeDocument/2006/relationships/hyperlink" Target="https://www.circle.com/en/cross-chain-transfer-protoco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epolia.explorer.zksync.io/" TargetMode="External" /><Relationship Id="rId11" Type="http://schemas.openxmlformats.org/officeDocument/2006/relationships/fontTable" Target="fontTable.xml" /><Relationship Id="rId5" Type="http://schemas.openxmlformats.org/officeDocument/2006/relationships/hyperlink" Target="https://chainlist.org/" TargetMode="External" /><Relationship Id="rId10" Type="http://schemas.openxmlformats.org/officeDocument/2006/relationships/hyperlink" Target="https://docs.zksync.io/zk-stack/concepts/finality" TargetMode="External" /><Relationship Id="rId4" Type="http://schemas.openxmlformats.org/officeDocument/2006/relationships/webSettings" Target="webSettings.xml" /><Relationship Id="rId9" Type="http://schemas.openxmlformats.org/officeDocument/2006/relationships/hyperlink" Target="https://portal.zksync.io/brid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34</cp:revision>
  <dcterms:created xsi:type="dcterms:W3CDTF">2024-10-06T08:57:00Z</dcterms:created>
  <dcterms:modified xsi:type="dcterms:W3CDTF">2024-10-06T09:18:00Z</dcterms:modified>
</cp:coreProperties>
</file>