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4"/>
          <w:szCs w:val="34"/>
        </w:rPr>
        <w:t xml:space="preserve">Measurement Scarcity Limits Multi-Channel Cardiac Ion-Channel Liability Prediction: A Public-Data Audit</w:t>
      </w:r>
    </w:p>
    <w:p>
      <w:pPr>
        <w:spacing w:after="40"/>
        <w:jc w:val="center"/>
      </w:pPr>
      <w:r>
        <w:rPr>
          <w:rFonts w:ascii="Times New Roman" w:cs="Times New Roman" w:eastAsia="Times New Roman" w:hAnsi="Times New Roman"/>
          <w:sz w:val="22"/>
          <w:szCs w:val="22"/>
        </w:rPr>
        <w:t xml:space="preserve">Muhammadjon Tursunbadalov* and Mustafojon Tursunbadalov</w:t>
      </w:r>
    </w:p>
    <w:p>
      <w:pPr>
        <w:spacing w:after="200"/>
        <w:jc w:val="center"/>
      </w:pPr>
      <w:r>
        <w:rPr>
          <w:rFonts w:ascii="Times New Roman" w:cs="Times New Roman" w:eastAsia="Times New Roman" w:hAnsi="Times New Roman"/>
          <w:i/>
          <w:iCs/>
          <w:sz w:val="18"/>
          <w:szCs w:val="18"/>
        </w:rPr>
        <w:t xml:space="preserve">School of Science and Technology, Champions College Prep, Houston, TX, USA</w:t>
      </w:r>
      <w:r>
        <w:rPr>
          <w:rFonts w:ascii="Times New Roman" w:cs="Times New Roman" w:eastAsia="Times New Roman" w:hAnsi="Times New Roman"/>
          <w:i/>
          <w:iCs/>
          <w:sz w:val="18"/>
          <w:szCs w:val="18"/>
        </w:rPr>
        <w:br/>
        <w:t xml:space="preserve">*Corresponding author: yaiuftuto@gmail.com</w:t>
      </w:r>
    </w:p>
    <w:p>
      <w:pPr>
        <w:spacing w:after="80" w:line="220"/>
        <w:ind w:left="240" w:right="24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Robust assessment of drug-induced proarrhythmia is widely held to require several cardiac ion channels rather than the human ether-a-go-go-related gene (hERG) channel alone. The Comprehensive in vitro Proarrhythmia Assay (CiPA) framework names hERG, the cardiac sodium channel Nav1.5, and the L-type calcium channel Cav1.2 as core targets. Yet most published machine-learning (ML) liability models address hERG in isolation. This study investigates whether the public data needed to build the multi-channel models the field calls for actually exists, treating data availability as the explicit object of study. We use a large hERG benchmark from the Therapeutics Data Commons together with all public half-maximal inhibitory concentration (IC50) measurements for Nav1.5 and Cav1.2 in ChEMBL. We quantify four things: per-channel data volume and class balance; compound overlap across channels; the effect of training-set size on a controlled hERG learning curve; and the reliability of real Nav1.5 and Cav1.2 classifiers under random and scaffold splits with bootstrap confidence intervals. We find a steep scarcity gradient (hERG, 12,101 compounds, 50.1% active; Nav1.5, 2,830, 8.2%; Cav1.2, 463, 6.9%). Only 90 compounds are measured against all three channels. hERG performance degrades smoothly as data is withheld. Most importantly, low-active-count channels yield point estimates that appear strong but carry intervals so wide they are uninformative (Cav1.2 area under the receiver operating characteristic curve, 95% confidence interval [0.70, 1.00]). Scaffold splitting barely changes these estimates, indicating that the binding constraint is the number of labeled actives, not train–test similarity. Our findings indicate that multi-channel cardiac-liability modeling is currently limited by measurement scarcity rather than channel-specific difficulty. We provide a reproducible audit protocol. This work is a data and benchmarking analysis; it does not introduce a new modeling method.</w:t>
      </w:r>
    </w:p>
    <w:p>
      <w:pPr>
        <w:spacing w:after="120"/>
        <w:ind w:left="240" w:right="24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sz w:val="18"/>
          <w:szCs w:val="18"/>
        </w:rPr>
        <w:t xml:space="preserve">cardiotoxicity, hERG, Nav1.5, Cav1.2, CiPA, machine learning, data scarcity, benchmarking, uncertainty estimation, ChEMBL.</w:t>
      </w:r>
    </w:p>
    <w:p>
      <w:pPr>
        <w:sectPr>
          <w:type w:val="continuous"/>
          <w:pgSz w:w="12240" w:h="15840" w:orient="portrait"/>
          <w:pgMar w:top="1080" w:right="1080" w:bottom="1080" w:left="1080" w:header="708" w:footer="708" w:gutter="0"/>
          <w:pgNumType/>
          <w:cols w:num="1"/>
          <w:docGrid w:linePitch="360"/>
        </w:sectPr>
      </w:pPr>
    </w:p>
    <w:p>
      <w:pPr>
        <w:spacing w:after="100" w:before="200"/>
        <w:jc w:val="center"/>
      </w:pPr>
      <w:r>
        <w:rPr>
          <w:rFonts w:ascii="Times New Roman" w:cs="Times New Roman" w:eastAsia="Times New Roman" w:hAnsi="Times New Roman"/>
          <w:b/>
          <w:bCs/>
          <w:sz w:val="20"/>
          <w:szCs w:val="20"/>
        </w:rPr>
        <w:t xml:space="preserve">I.  INTRODUCTION</w:t>
      </w:r>
    </w:p>
    <w:p>
      <w:pPr>
        <w:spacing w:after="80" w:line="240"/>
        <w:ind w:firstLine="240"/>
        <w:jc w:val="both"/>
      </w:pPr>
      <w:r>
        <w:rPr>
          <w:rFonts w:ascii="Times New Roman" w:cs="Times New Roman" w:eastAsia="Times New Roman" w:hAnsi="Times New Roman"/>
          <w:sz w:val="20"/>
          <w:szCs w:val="20"/>
        </w:rPr>
        <w:t xml:space="preserve">Drug-induced blockade of the hERG-encoded potassium current can prolong cardiac repolarization and the QT interval. In the worst case it triggers the arrhythmia torsades de pointes. Because hERG liability is a leading cause of late-stage attrition and market withdrawal, in silico hERG filters are now standard early in discovery, and a large literature of ligand-based machine-learning (ML) classifiers exists for this single target.</w:t>
      </w:r>
    </w:p>
    <w:p>
      <w:pPr>
        <w:spacing w:after="80" w:line="240"/>
        <w:ind w:firstLine="240"/>
        <w:jc w:val="both"/>
      </w:pPr>
      <w:r>
        <w:rPr>
          <w:rFonts w:ascii="Times New Roman" w:cs="Times New Roman" w:eastAsia="Times New Roman" w:hAnsi="Times New Roman"/>
          <w:sz w:val="20"/>
          <w:szCs w:val="20"/>
        </w:rPr>
        <w:t xml:space="preserve">Proarrhythmic risk, however, is not governed by hERG alone. A compound that blocks hERG may be clinically safe if it also modulates inward currents. This is the rationale for the CiPA framework, which evaluates multiple channels—most prominently hERG, the cardiac sodium channel Nav1.5 (gene SCN5A), and the L-type calcium channel Cav1.2 (gene CACNA1C). A recent scoping review notes that ML cardiotoxicity work has nonetheless remained concentrated on hERG, leaving the multi-channel picture comparatively unmodeled.</w:t>
      </w:r>
    </w:p>
    <w:p>
      <w:pPr>
        <w:spacing w:after="80" w:line="240"/>
        <w:ind w:firstLine="240"/>
        <w:jc w:val="both"/>
      </w:pPr>
      <w:r>
        <w:rPr>
          <w:rFonts w:ascii="Times New Roman" w:cs="Times New Roman" w:eastAsia="Times New Roman" w:hAnsi="Times New Roman"/>
          <w:sz w:val="20"/>
          <w:szCs w:val="20"/>
        </w:rPr>
        <w:t xml:space="preserve">The usual explanation is methodological habit. We test a more basic explanation: that the labeled data required to build reliable non-hERG models may simply be too sparse. Rather than propose another model, we audit the data. The main contributions of this work are summarized below.</w:t>
      </w:r>
    </w:p>
    <w:p>
      <w:pPr>
        <w:pStyle w:val="ListParagraph"/>
        <w:numPr>
          <w:ilvl w:val="0"/>
          <w:numId w:val="2"/>
        </w:numPr>
        <w:spacing w:after="50" w:line="230"/>
        <w:jc w:val="both"/>
      </w:pPr>
      <w:r>
        <w:rPr>
          <w:rFonts w:ascii="Times New Roman" w:cs="Times New Roman" w:eastAsia="Times New Roman" w:hAnsi="Times New Roman"/>
          <w:sz w:val="20"/>
          <w:szCs w:val="20"/>
        </w:rPr>
        <w:t xml:space="preserve">A per-channel scarcity and class-balance characterization for hERG, Nav1.5, and Cav1.2 from public sources.</w:t>
      </w:r>
    </w:p>
    <w:p>
      <w:pPr>
        <w:pStyle w:val="ListParagraph"/>
        <w:numPr>
          <w:ilvl w:val="0"/>
          <w:numId w:val="2"/>
        </w:numPr>
        <w:spacing w:after="50" w:line="230"/>
        <w:jc w:val="both"/>
      </w:pPr>
      <w:r>
        <w:rPr>
          <w:rFonts w:ascii="Times New Roman" w:cs="Times New Roman" w:eastAsia="Times New Roman" w:hAnsi="Times New Roman"/>
          <w:sz w:val="20"/>
          <w:szCs w:val="20"/>
        </w:rPr>
        <w:t xml:space="preserve">An exact-structure overlap analysis quantifying how few compounds are measured against all three channels.</w:t>
      </w:r>
    </w:p>
    <w:p>
      <w:pPr>
        <w:pStyle w:val="ListParagraph"/>
        <w:numPr>
          <w:ilvl w:val="0"/>
          <w:numId w:val="2"/>
        </w:numPr>
        <w:spacing w:after="50" w:line="230"/>
        <w:jc w:val="both"/>
      </w:pPr>
      <w:r>
        <w:rPr>
          <w:rFonts w:ascii="Times New Roman" w:cs="Times New Roman" w:eastAsia="Times New Roman" w:hAnsi="Times New Roman"/>
          <w:sz w:val="20"/>
          <w:szCs w:val="20"/>
        </w:rPr>
        <w:t xml:space="preserve">A controlled hERG data-starvation experiment that isolates training-set size as a driver of performance.</w:t>
      </w:r>
    </w:p>
    <w:p>
      <w:pPr>
        <w:pStyle w:val="ListParagraph"/>
        <w:numPr>
          <w:ilvl w:val="0"/>
          <w:numId w:val="2"/>
        </w:numPr>
        <w:spacing w:after="50" w:line="230"/>
        <w:jc w:val="both"/>
      </w:pPr>
      <w:r>
        <w:rPr>
          <w:rFonts w:ascii="Times New Roman" w:cs="Times New Roman" w:eastAsia="Times New Roman" w:hAnsi="Times New Roman"/>
          <w:sz w:val="20"/>
          <w:szCs w:val="20"/>
        </w:rPr>
        <w:t xml:space="preserve">Interval-estimated Nav1.5 and Cav1.2 classifiers under random and scaffold splits, showing that the count of labeled actives, not the split, is the limiting factor.</w:t>
      </w:r>
    </w:p>
    <w:p>
      <w:pPr>
        <w:spacing w:after="80" w:line="240"/>
        <w:jc w:val="both"/>
      </w:pPr>
      <w:r>
        <w:rPr>
          <w:rFonts w:ascii="Times New Roman" w:cs="Times New Roman" w:eastAsia="Times New Roman" w:hAnsi="Times New Roman"/>
          <w:sz w:val="20"/>
          <w:szCs w:val="20"/>
        </w:rPr>
        <w:t xml:space="preserve">All results are reproducible from public data. The end-to-end workflow is summarized in Fig. 1.</w:t>
      </w:r>
    </w:p>
    <w:p>
      <w:pPr>
        <w:spacing w:after="20" w:before="80"/>
        <w:jc w:val="center"/>
      </w:pPr>
      <w:r>
        <w:drawing>
          <wp:inline distT="0" distB="0" distL="0" distR="0">
            <wp:extent cx="204787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47875" cy="2619375"/>
                    </a:xfrm>
                    <a:prstGeom prst="rect">
                      <a:avLst/>
                    </a:prstGeom>
                  </pic:spPr>
                </pic:pic>
              </a:graphicData>
            </a:graphic>
          </wp:inline>
        </w:drawing>
      </w:r>
    </w:p>
    <w:p>
      <w:pPr>
        <w:spacing w:after="140" w:before="40"/>
        <w:jc w:val="left"/>
      </w:pPr>
      <w:r>
        <w:rPr>
          <w:rFonts w:ascii="Times New Roman" w:cs="Times New Roman" w:eastAsia="Times New Roman" w:hAnsi="Times New Roman"/>
          <w:sz w:val="16"/>
          <w:szCs w:val="16"/>
        </w:rPr>
        <w:t xml:space="preserve">Fig. 1.  End-to-end audit workflow, from public data acquisition through labeling, featurization, model training, and evaluation/audit.</w:t>
      </w:r>
    </w:p>
    <w:p>
      <w:pPr>
        <w:spacing w:after="100" w:before="200"/>
        <w:jc w:val="center"/>
      </w:pPr>
      <w:r>
        <w:rPr>
          <w:rFonts w:ascii="Times New Roman" w:cs="Times New Roman" w:eastAsia="Times New Roman" w:hAnsi="Times New Roman"/>
          <w:b/>
          <w:bCs/>
          <w:sz w:val="20"/>
          <w:szCs w:val="20"/>
        </w:rPr>
        <w:t xml:space="preserve">II.  MATERIALS AND METHODS</w:t>
      </w:r>
    </w:p>
    <w:p>
      <w:pPr>
        <w:spacing w:after="60" w:before="120"/>
      </w:pPr>
      <w:r>
        <w:rPr>
          <w:rFonts w:ascii="Times New Roman" w:cs="Times New Roman" w:eastAsia="Times New Roman" w:hAnsi="Times New Roman"/>
          <w:i/>
          <w:iCs/>
          <w:sz w:val="20"/>
          <w:szCs w:val="20"/>
        </w:rPr>
        <w:t xml:space="preserve">A.  Datasets</w:t>
      </w:r>
    </w:p>
    <w:p>
      <w:pPr>
        <w:spacing w:after="80" w:line="240"/>
        <w:ind w:firstLine="240"/>
        <w:jc w:val="both"/>
      </w:pPr>
      <w:r>
        <w:rPr>
          <w:rFonts w:ascii="Times New Roman" w:cs="Times New Roman" w:eastAsia="Times New Roman" w:hAnsi="Times New Roman"/>
          <w:sz w:val="20"/>
          <w:szCs w:val="20"/>
        </w:rPr>
        <w:t xml:space="preserve">hERG binary blocker data were obtained through the Therapeutics Data Commons (TDC). The larger hERG_Karim set (9,412 training and 2,689 test compounds; 50.1% blockers in training) served as the primary resource, and the smaller TDC hERG set was used for cross-source comparison. Nav1.5 (ChEMBL target CHEMBL1980) and Cav1.2 (CHEMBL1940) activities were retrieved from ChEMBL as IC50 measurements (accessed June 2026; the exact release is recorded in the repository). For these two channels, records reported in nM were retained, non-positive or missing values were discarded, and replicate measurements of a compound were collapsed to the median.</w:t>
      </w:r>
    </w:p>
    <w:p>
      <w:pPr>
        <w:spacing w:after="80" w:line="240"/>
        <w:ind w:firstLine="240"/>
        <w:jc w:val="both"/>
      </w:pPr>
      <w:r>
        <w:rPr>
          <w:rFonts w:ascii="Times New Roman" w:cs="Times New Roman" w:eastAsia="Times New Roman" w:hAnsi="Times New Roman"/>
          <w:sz w:val="20"/>
          <w:szCs w:val="20"/>
        </w:rPr>
        <w:t xml:space="preserve">IC50 values were converted to pIC50 = 9 − log10(IC50 in nM). A compound was labeled active (a blocker) if pIC50 ≥ 6 (IC50 ≤ 1 µM) and inactive otherwise. Cleaning yielded 2,830 unique Nav1.5 compounds (8.2% active) and 463 unique Cav1.2 compounds (6.9% active).</w:t>
      </w:r>
    </w:p>
    <w:p>
      <w:pPr>
        <w:spacing w:after="60" w:before="120"/>
      </w:pPr>
      <w:r>
        <w:rPr>
          <w:rFonts w:ascii="Times New Roman" w:cs="Times New Roman" w:eastAsia="Times New Roman" w:hAnsi="Times New Roman"/>
          <w:i/>
          <w:iCs/>
          <w:sz w:val="20"/>
          <w:szCs w:val="20"/>
        </w:rPr>
        <w:t xml:space="preserve">B.  Molecular featurization</w:t>
      </w:r>
    </w:p>
    <w:p>
      <w:pPr>
        <w:spacing w:after="80" w:line="240"/>
        <w:ind w:firstLine="240"/>
        <w:jc w:val="both"/>
      </w:pPr>
      <w:r>
        <w:rPr>
          <w:rFonts w:ascii="Times New Roman" w:cs="Times New Roman" w:eastAsia="Times New Roman" w:hAnsi="Times New Roman"/>
          <w:sz w:val="20"/>
          <w:szCs w:val="20"/>
        </w:rPr>
        <w:t xml:space="preserve">Each compound was parsed from its SMILES string with RDKit and represented by ten interpretable physicochemical descriptors (molecular weight, MolLogP, topological polar surface area, hydrogen-bond acceptors and donors, rotatable bonds, aromatic-ring count, total ring count, fraction of sp3 carbons, and heavy-atom count) concatenated with a 2,048-bit radius-2 Morgan fingerprint, giving 2,058 features per compound. The identical featurizer was applied to every channel.</w:t>
      </w:r>
    </w:p>
    <w:p>
      <w:pPr>
        <w:spacing w:after="60" w:before="120"/>
      </w:pPr>
      <w:r>
        <w:rPr>
          <w:rFonts w:ascii="Times New Roman" w:cs="Times New Roman" w:eastAsia="Times New Roman" w:hAnsi="Times New Roman"/>
          <w:i/>
          <w:iCs/>
          <w:sz w:val="20"/>
          <w:szCs w:val="20"/>
        </w:rPr>
        <w:t xml:space="preserve">C.  Models and reproducibility</w:t>
      </w:r>
    </w:p>
    <w:p>
      <w:pPr>
        <w:spacing w:after="80" w:line="240"/>
        <w:ind w:firstLine="240"/>
        <w:jc w:val="both"/>
      </w:pPr>
      <w:r>
        <w:rPr>
          <w:rFonts w:ascii="Times New Roman" w:cs="Times New Roman" w:eastAsia="Times New Roman" w:hAnsi="Times New Roman"/>
          <w:sz w:val="20"/>
          <w:szCs w:val="20"/>
        </w:rPr>
        <w:t xml:space="preserve">Three classifiers were trained for hERG: L2-regularized logistic regression (C = 1.0, max_iter = 2000), a random forest (300 trees, Gini criterion, bootstrap sampling), and gradient-boosted trees (XGBoost; 300 estimators, max depth 6, learning rate 0.1, subsample 0.9, log-loss objective). Tree ensembles received unscaled features; logistic regression received features standardized with a scaler fit on the training partition only and applied unchanged to validation and test data, preventing information leakage from evaluation data. For the imbalanced Nav1.5 and Cav1.2 channels, a balanced-class-weight random forest was used. A fixed seed (42) was used throughout. Analyses ran in Python 3.12 with scikit-learn 1.2.2, NumPy 1.26.4, RDKit, XGBoost, and PyTDC on Google Colab (CPU runtime); all package versions are pinned in the repository requirements file.</w:t>
      </w:r>
    </w:p>
    <w:p>
      <w:pPr>
        <w:spacing w:after="60" w:before="120"/>
      </w:pPr>
      <w:r>
        <w:rPr>
          <w:rFonts w:ascii="Times New Roman" w:cs="Times New Roman" w:eastAsia="Times New Roman" w:hAnsi="Times New Roman"/>
          <w:i/>
          <w:iCs/>
          <w:sz w:val="20"/>
          <w:szCs w:val="20"/>
        </w:rPr>
        <w:t xml:space="preserve">D.  Evaluation, overlap, starvation, and splits</w:t>
      </w:r>
    </w:p>
    <w:p>
      <w:pPr>
        <w:spacing w:after="80" w:line="240"/>
        <w:ind w:firstLine="240"/>
        <w:jc w:val="both"/>
      </w:pPr>
      <w:r>
        <w:rPr>
          <w:rFonts w:ascii="Times New Roman" w:cs="Times New Roman" w:eastAsia="Times New Roman" w:hAnsi="Times New Roman"/>
          <w:sz w:val="20"/>
          <w:szCs w:val="20"/>
        </w:rPr>
        <w:t xml:space="preserve">Performance was summarized with the area under the receiver operating characteristic curve (ROC-AUC), the Matthews correlation coefficient (MCC), F1, and balanced accuracy. MCC and balanced accuracy were emphasized because they are robust to class imbalance. Cross-channel overlap was measured by converting every compound to a canonical SMILES string and counting exact-structure matches between channels, including the count present in all three. To isolate the effect of data volume, random forests were trained on random subsamples of the hERG training set at eight sizes from 9,412 down to 120 compounds, each repeated five times, and evaluated on the fixed, balanced hERG test partition. For the Nav1.5 and Cav1.2 models, both a stratified random split and a Bemis–Murcko scaffold split (whole scaffold families assigned entirely to train or test) were used. The 95% confidence intervals (CIs) for every metric were obtained from 1,000 bootstrap resamples of the test set (percentile method).</w:t>
      </w:r>
    </w:p>
    <w:p>
      <w:pPr>
        <w:spacing w:after="100" w:before="200"/>
        <w:jc w:val="center"/>
      </w:pPr>
      <w:r>
        <w:rPr>
          <w:rFonts w:ascii="Times New Roman" w:cs="Times New Roman" w:eastAsia="Times New Roman" w:hAnsi="Times New Roman"/>
          <w:b/>
          <w:bCs/>
          <w:sz w:val="20"/>
          <w:szCs w:val="20"/>
        </w:rPr>
        <w:t xml:space="preserve">III.  RESULTS</w:t>
      </w:r>
    </w:p>
    <w:p>
      <w:pPr>
        <w:spacing w:after="60" w:before="120"/>
      </w:pPr>
      <w:r>
        <w:rPr>
          <w:rFonts w:ascii="Times New Roman" w:cs="Times New Roman" w:eastAsia="Times New Roman" w:hAnsi="Times New Roman"/>
          <w:i/>
          <w:iCs/>
          <w:sz w:val="20"/>
          <w:szCs w:val="20"/>
        </w:rPr>
        <w:t xml:space="preserve">A.  A steep per-channel scarcity gradient</w:t>
      </w:r>
    </w:p>
    <w:p>
      <w:pPr>
        <w:spacing w:after="80" w:line="240"/>
        <w:ind w:firstLine="240"/>
        <w:jc w:val="both"/>
      </w:pPr>
      <w:r>
        <w:rPr>
          <w:rFonts w:ascii="Times New Roman" w:cs="Times New Roman" w:eastAsia="Times New Roman" w:hAnsi="Times New Roman"/>
          <w:sz w:val="20"/>
          <w:szCs w:val="20"/>
        </w:rPr>
        <w:t xml:space="preserve">The three channels differ by more than an order of magnitude in data volume and also in class balance (Table I, Fig. 2). hERG is large and balanced; Nav1.5 is roughly a quarter of its size and strongly imbalanced; Cav1.2 is 26 times smaller than hERG and contains only 32 actives in total.</w:t>
      </w:r>
    </w:p>
    <w:p>
      <w:pPr>
        <w:spacing w:after="140" w:before="40"/>
        <w:jc w:val="left"/>
      </w:pPr>
      <w:r>
        <w:rPr>
          <w:rFonts w:ascii="Times New Roman" w:cs="Times New Roman" w:eastAsia="Times New Roman" w:hAnsi="Times New Roman"/>
          <w:sz w:val="16"/>
          <w:szCs w:val="16"/>
        </w:rPr>
        <w:t xml:space="preserve">TABLE I.  Per-channel data volume and class balance (public sources).</w:t>
      </w:r>
    </w:p>
    <w:tbl>
      <w:tblPr>
        <w:tblW w:type="dxa" w:w="4750"/>
        <w:tblBorders>
          <w:top w:val="single" w:color="auto" w:sz="4"/>
          <w:left w:val="single" w:color="auto" w:sz="4"/>
          <w:bottom w:val="single" w:color="auto" w:sz="4"/>
          <w:right w:val="single" w:color="auto" w:sz="4"/>
          <w:insideH w:val="single" w:color="auto" w:sz="4"/>
          <w:insideV w:val="single" w:color="auto" w:sz="4"/>
        </w:tblBorders>
      </w:tblPr>
      <w:tblGrid>
        <w:gridCol w:w="1500"/>
        <w:gridCol w:w="880"/>
        <w:gridCol w:w="760"/>
        <w:gridCol w:w="860"/>
        <w:gridCol w:w="750"/>
      </w:tblGrid>
      <w:tr>
        <w:tc>
          <w:tcPr>
            <w:tcW w:type="dxa" w:w="1500"/>
            <w:tcBorders>
              <w:top w:val="single" w:color="999999" w:sz="1"/>
              <w:left w:val="single" w:color="999999" w:sz="1"/>
              <w:bottom w:val="single" w:color="999999" w:sz="1"/>
              <w:right w:val="single" w:color="999999" w:sz="1"/>
            </w:tcBorders>
            <w:shd w:fill="DDE6F0" w:val="clear"/>
            <w:tcMar>
              <w:top w:type="dxa" w:w="50"/>
              <w:left w:type="dxa" w:w="90"/>
              <w:bottom w:type="dxa" w:w="50"/>
              <w:right w:type="dxa" w:w="90"/>
            </w:tcMar>
          </w:tcPr>
          <w:p>
            <w:pPr>
              <w:jc w:val="left"/>
            </w:pPr>
            <w:r>
              <w:rPr>
                <w:rFonts w:ascii="Times New Roman" w:cs="Times New Roman" w:eastAsia="Times New Roman" w:hAnsi="Times New Roman"/>
                <w:b/>
                <w:bCs/>
                <w:sz w:val="15"/>
                <w:szCs w:val="15"/>
              </w:rPr>
              <w:t xml:space="preserve">Channel</w:t>
            </w:r>
          </w:p>
        </w:tc>
        <w:tc>
          <w:tcPr>
            <w:tcW w:type="dxa" w:w="880"/>
            <w:tcBorders>
              <w:top w:val="single" w:color="999999" w:sz="1"/>
              <w:left w:val="single" w:color="999999" w:sz="1"/>
              <w:bottom w:val="single" w:color="999999" w:sz="1"/>
              <w:right w:val="single" w:color="999999" w:sz="1"/>
            </w:tcBorders>
            <w:shd w:fill="DDE6F0" w:val="clear"/>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Compounds</w:t>
            </w:r>
          </w:p>
        </w:tc>
        <w:tc>
          <w:tcPr>
            <w:tcW w:type="dxa" w:w="760"/>
            <w:tcBorders>
              <w:top w:val="single" w:color="999999" w:sz="1"/>
              <w:left w:val="single" w:color="999999" w:sz="1"/>
              <w:bottom w:val="single" w:color="999999" w:sz="1"/>
              <w:right w:val="single" w:color="999999" w:sz="1"/>
            </w:tcBorders>
            <w:shd w:fill="DDE6F0" w:val="clear"/>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Actives</w:t>
            </w:r>
          </w:p>
        </w:tc>
        <w:tc>
          <w:tcPr>
            <w:tcW w:type="dxa" w:w="860"/>
            <w:tcBorders>
              <w:top w:val="single" w:color="999999" w:sz="1"/>
              <w:left w:val="single" w:color="999999" w:sz="1"/>
              <w:bottom w:val="single" w:color="999999" w:sz="1"/>
              <w:right w:val="single" w:color="999999" w:sz="1"/>
            </w:tcBorders>
            <w:shd w:fill="DDE6F0" w:val="clear"/>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Inactives</w:t>
            </w:r>
          </w:p>
        </w:tc>
        <w:tc>
          <w:tcPr>
            <w:tcW w:type="dxa" w:w="750"/>
            <w:tcBorders>
              <w:top w:val="single" w:color="999999" w:sz="1"/>
              <w:left w:val="single" w:color="999999" w:sz="1"/>
              <w:bottom w:val="single" w:color="999999" w:sz="1"/>
              <w:right w:val="single" w:color="999999" w:sz="1"/>
            </w:tcBorders>
            <w:shd w:fill="DDE6F0" w:val="clear"/>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Active %</w:t>
            </w:r>
          </w:p>
        </w:tc>
      </w:tr>
      <w:tr>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hERG (KCNH2)</w:t>
            </w:r>
          </w:p>
        </w:tc>
        <w:tc>
          <w:tcPr>
            <w:tcW w:type="dxa" w:w="88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12,101</w:t>
            </w:r>
          </w:p>
        </w:tc>
        <w:tc>
          <w:tcPr>
            <w:tcW w:type="dxa" w:w="76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6,057</w:t>
            </w:r>
          </w:p>
        </w:tc>
        <w:tc>
          <w:tcPr>
            <w:tcW w:type="dxa" w:w="86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6,044</w:t>
            </w:r>
          </w:p>
        </w:tc>
        <w:tc>
          <w:tcPr>
            <w:tcW w:type="dxa" w:w="75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50.1</w:t>
            </w:r>
          </w:p>
        </w:tc>
      </w:tr>
      <w:tr>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Nav1.5 (SCN5A)</w:t>
            </w:r>
          </w:p>
        </w:tc>
        <w:tc>
          <w:tcPr>
            <w:tcW w:type="dxa" w:w="88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2,830</w:t>
            </w:r>
          </w:p>
        </w:tc>
        <w:tc>
          <w:tcPr>
            <w:tcW w:type="dxa" w:w="76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231</w:t>
            </w:r>
          </w:p>
        </w:tc>
        <w:tc>
          <w:tcPr>
            <w:tcW w:type="dxa" w:w="86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2,599</w:t>
            </w:r>
          </w:p>
        </w:tc>
        <w:tc>
          <w:tcPr>
            <w:tcW w:type="dxa" w:w="75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8.2</w:t>
            </w:r>
          </w:p>
        </w:tc>
      </w:tr>
      <w:tr>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Cav1.2 (CACNA1C)</w:t>
            </w:r>
          </w:p>
        </w:tc>
        <w:tc>
          <w:tcPr>
            <w:tcW w:type="dxa" w:w="88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463</w:t>
            </w:r>
          </w:p>
        </w:tc>
        <w:tc>
          <w:tcPr>
            <w:tcW w:type="dxa" w:w="76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32</w:t>
            </w:r>
          </w:p>
        </w:tc>
        <w:tc>
          <w:tcPr>
            <w:tcW w:type="dxa" w:w="86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431</w:t>
            </w:r>
          </w:p>
        </w:tc>
        <w:tc>
          <w:tcPr>
            <w:tcW w:type="dxa" w:w="75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6.9</w:t>
            </w:r>
          </w:p>
        </w:tc>
      </w:tr>
    </w:tbl>
    <w:p>
      <w:pPr>
        <w:spacing w:after="20" w:before="80"/>
        <w:jc w:val="center"/>
      </w:pPr>
      <w:r>
        <w:drawing>
          <wp:inline distT="0" distB="0" distL="0" distR="0">
            <wp:extent cx="282892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28925" cy="2247900"/>
                    </a:xfrm>
                    <a:prstGeom prst="rect">
                      <a:avLst/>
                    </a:prstGeom>
                  </pic:spPr>
                </pic:pic>
              </a:graphicData>
            </a:graphic>
          </wp:inline>
        </w:drawing>
      </w:r>
    </w:p>
    <w:p>
      <w:pPr>
        <w:spacing w:after="140" w:before="40"/>
        <w:jc w:val="left"/>
      </w:pPr>
      <w:r>
        <w:rPr>
          <w:rFonts w:ascii="Times New Roman" w:cs="Times New Roman" w:eastAsia="Times New Roman" w:hAnsi="Times New Roman"/>
          <w:sz w:val="16"/>
          <w:szCs w:val="16"/>
        </w:rPr>
        <w:t xml:space="preserve">Fig. 2.  Compound counts per channel (log scale), split into actives and inactives. Data shrink and grow more imbalanced from hERG to Cav1.2.</w:t>
      </w:r>
    </w:p>
    <w:p>
      <w:pPr>
        <w:spacing w:after="60" w:before="120"/>
      </w:pPr>
      <w:r>
        <w:rPr>
          <w:rFonts w:ascii="Times New Roman" w:cs="Times New Roman" w:eastAsia="Times New Roman" w:hAnsi="Times New Roman"/>
          <w:i/>
          <w:iCs/>
          <w:sz w:val="20"/>
          <w:szCs w:val="20"/>
        </w:rPr>
        <w:t xml:space="preserve">B.  The complete three-channel dataset is essentially empty</w:t>
      </w:r>
    </w:p>
    <w:p>
      <w:pPr>
        <w:spacing w:after="80" w:line="240"/>
        <w:ind w:firstLine="240"/>
        <w:jc w:val="both"/>
      </w:pPr>
      <w:r>
        <w:rPr>
          <w:rFonts w:ascii="Times New Roman" w:cs="Times New Roman" w:eastAsia="Times New Roman" w:hAnsi="Times New Roman"/>
          <w:sz w:val="20"/>
          <w:szCs w:val="20"/>
        </w:rPr>
        <w:t xml:space="preserve">Exact canonical-structure matching shows that the channels barely overlap (Fig. 3). Only 306 compounds are common to hERG and Nav1.5, 116 to hERG and Cav1.2, and 221 to Nav1.5 and Cav1.2. Critically, just 90 compounds have been measured against all three channels. A per-compound, fully labeled multi-channel dataset—the natural input to any integrated proarrhythmia model—therefore does not meaningfully exist in public IC50 data; after a train/test division only a few dozen such compounds remain.</w:t>
      </w:r>
    </w:p>
    <w:p>
      <w:pPr>
        <w:spacing w:after="20" w:before="80"/>
        <w:jc w:val="center"/>
      </w:pPr>
      <w:r>
        <w:drawing>
          <wp:inline distT="0" distB="0" distL="0" distR="0">
            <wp:extent cx="27432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43200" cy="2400300"/>
                    </a:xfrm>
                    <a:prstGeom prst="rect">
                      <a:avLst/>
                    </a:prstGeom>
                  </pic:spPr>
                </pic:pic>
              </a:graphicData>
            </a:graphic>
          </wp:inline>
        </w:drawing>
      </w:r>
    </w:p>
    <w:p>
      <w:pPr>
        <w:spacing w:after="140" w:before="40"/>
        <w:jc w:val="left"/>
      </w:pPr>
      <w:r>
        <w:rPr>
          <w:rFonts w:ascii="Times New Roman" w:cs="Times New Roman" w:eastAsia="Times New Roman" w:hAnsi="Times New Roman"/>
          <w:sz w:val="16"/>
          <w:szCs w:val="16"/>
        </w:rPr>
        <w:t xml:space="preserve">Fig. 3.  Cross-channel compound overlap (not to scale). Only 90 compounds are measured against all three channels.</w:t>
      </w:r>
    </w:p>
    <w:p>
      <w:pPr>
        <w:spacing w:after="60" w:before="120"/>
      </w:pPr>
      <w:r>
        <w:rPr>
          <w:rFonts w:ascii="Times New Roman" w:cs="Times New Roman" w:eastAsia="Times New Roman" w:hAnsi="Times New Roman"/>
          <w:i/>
          <w:iCs/>
          <w:sz w:val="20"/>
          <w:szCs w:val="20"/>
        </w:rPr>
        <w:t xml:space="preserve">C.  Training volume bounds achievable performance</w:t>
      </w:r>
    </w:p>
    <w:p>
      <w:pPr>
        <w:spacing w:after="80" w:line="240"/>
        <w:ind w:firstLine="240"/>
        <w:jc w:val="both"/>
      </w:pPr>
      <w:r>
        <w:rPr>
          <w:rFonts w:ascii="Times New Roman" w:cs="Times New Roman" w:eastAsia="Times New Roman" w:hAnsi="Times New Roman"/>
          <w:sz w:val="20"/>
          <w:szCs w:val="20"/>
        </w:rPr>
        <w:t xml:space="preserve">Holding the model, features, chemistry, and balanced test set fixed, hERG ROC-AUC declines smoothly and monotonically as training data is withheld: from 0.928 at the full 9,412 compounds to 0.873 at Nav1.5-equivalent volume (2,830), 0.782 at Cav1.2-equivalent volume (463), and 0.698 at 120 compounds (Fig. 4; run-to-run standard deviation ≤ 0.008). Because only the amount of training data changes, this isolates data volume, not anything channel-specific, as a direct driver of achievable performance on a clean benchmark.</w:t>
      </w:r>
    </w:p>
    <w:p>
      <w:pPr>
        <w:spacing w:after="20" w:before="80"/>
        <w:jc w:val="center"/>
      </w:pPr>
      <w:r>
        <w:drawing>
          <wp:inline distT="0" distB="0" distL="0" distR="0">
            <wp:extent cx="2828925"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28925" cy="2124075"/>
                    </a:xfrm>
                    <a:prstGeom prst="rect">
                      <a:avLst/>
                    </a:prstGeom>
                  </pic:spPr>
                </pic:pic>
              </a:graphicData>
            </a:graphic>
          </wp:inline>
        </w:drawing>
      </w:r>
    </w:p>
    <w:p>
      <w:pPr>
        <w:spacing w:after="140" w:before="40"/>
        <w:jc w:val="left"/>
      </w:pPr>
      <w:r>
        <w:rPr>
          <w:rFonts w:ascii="Times New Roman" w:cs="Times New Roman" w:eastAsia="Times New Roman" w:hAnsi="Times New Roman"/>
          <w:sz w:val="16"/>
          <w:szCs w:val="16"/>
        </w:rPr>
        <w:t xml:space="preserve">Fig. 4.  hERG ROC-AUC versus training-set size (log scale; mean of five runs, shaded ±1 SD). Dashed lines mark the real data volumes of Nav1.5 and Cav1.2.</w:t>
      </w:r>
    </w:p>
    <w:p>
      <w:pPr>
        <w:spacing w:after="60" w:before="120"/>
      </w:pPr>
      <w:r>
        <w:rPr>
          <w:rFonts w:ascii="Times New Roman" w:cs="Times New Roman" w:eastAsia="Times New Roman" w:hAnsi="Times New Roman"/>
          <w:i/>
          <w:iCs/>
          <w:sz w:val="20"/>
          <w:szCs w:val="20"/>
        </w:rPr>
        <w:t xml:space="preserve">D.  Low-active channels are not measurable, and splits do not rescue them</w:t>
      </w:r>
    </w:p>
    <w:p>
      <w:pPr>
        <w:spacing w:after="80" w:line="240"/>
        <w:ind w:firstLine="240"/>
        <w:jc w:val="both"/>
      </w:pPr>
      <w:r>
        <w:rPr>
          <w:rFonts w:ascii="Times New Roman" w:cs="Times New Roman" w:eastAsia="Times New Roman" w:hAnsi="Times New Roman"/>
          <w:sz w:val="20"/>
          <w:szCs w:val="20"/>
        </w:rPr>
        <w:t xml:space="preserve">Real Nav1.5 and Cav1.2 classifiers post high ROC-AUC point estimates (Table II, Fig. 5), but the estimates must be read together with their CIs and active counts. Nav1.5, with 58–78 test actives, attains ROC-AUC near 0.95 with a moderate interval that survives scaffold splitting. Cav1.2, with only eight test actives, returns ROC-AUC near 0.92 but a 95% interval spanning [0.70, 1.00] and an MCC interval spanning [0.19, 0.91]—from near-chance to near-perfect. The point estimate is therefore uninformative. Moving from a random to a scaffold split changes the estimates by at most 0.007 ROC-AUC, indicating that train–test structural similarity is not what supports these numbers; the binding constraint is the scarcity of labeled actives, which no choice of split can remedy.</w:t>
      </w:r>
    </w:p>
    <w:p>
      <w:pPr>
        <w:spacing w:after="140" w:before="40"/>
        <w:jc w:val="left"/>
      </w:pPr>
      <w:r>
        <w:rPr>
          <w:rFonts w:ascii="Times New Roman" w:cs="Times New Roman" w:eastAsia="Times New Roman" w:hAnsi="Times New Roman"/>
          <w:sz w:val="16"/>
          <w:szCs w:val="16"/>
        </w:rPr>
        <w:t xml:space="preserve">TABLE II.  Nav1.5 and Cav1.2 under random and scaffold splits; median [95% bootstrap CI]. na = actives in test set.</w:t>
      </w:r>
    </w:p>
    <w:tbl>
      <w:tblPr>
        <w:tblW w:type="dxa" w:w="4750"/>
        <w:tblBorders>
          <w:top w:val="single" w:color="auto" w:sz="4"/>
          <w:left w:val="single" w:color="auto" w:sz="4"/>
          <w:bottom w:val="single" w:color="auto" w:sz="4"/>
          <w:right w:val="single" w:color="auto" w:sz="4"/>
          <w:insideH w:val="single" w:color="auto" w:sz="4"/>
          <w:insideV w:val="single" w:color="auto" w:sz="4"/>
        </w:tblBorders>
      </w:tblPr>
      <w:tblGrid>
        <w:gridCol w:w="820"/>
        <w:gridCol w:w="900"/>
        <w:gridCol w:w="420"/>
        <w:gridCol w:w="1310"/>
        <w:gridCol w:w="1300"/>
      </w:tblGrid>
      <w:tr>
        <w:tc>
          <w:tcPr>
            <w:tcW w:type="dxa" w:w="820"/>
            <w:tcBorders>
              <w:top w:val="single" w:color="999999" w:sz="1"/>
              <w:left w:val="single" w:color="999999" w:sz="1"/>
              <w:bottom w:val="single" w:color="999999" w:sz="1"/>
              <w:right w:val="single" w:color="999999" w:sz="1"/>
            </w:tcBorders>
            <w:shd w:fill="DDE6F0" w:val="clear"/>
            <w:tcMar>
              <w:top w:type="dxa" w:w="50"/>
              <w:left w:type="dxa" w:w="90"/>
              <w:bottom w:type="dxa" w:w="50"/>
              <w:right w:type="dxa" w:w="90"/>
            </w:tcMar>
          </w:tcPr>
          <w:p>
            <w:pPr>
              <w:jc w:val="left"/>
            </w:pPr>
            <w:r>
              <w:rPr>
                <w:rFonts w:ascii="Times New Roman" w:cs="Times New Roman" w:eastAsia="Times New Roman" w:hAnsi="Times New Roman"/>
                <w:b/>
                <w:bCs/>
                <w:sz w:val="15"/>
                <w:szCs w:val="15"/>
              </w:rPr>
              <w:t xml:space="preserve">Channel</w:t>
            </w:r>
          </w:p>
        </w:tc>
        <w:tc>
          <w:tcPr>
            <w:tcW w:type="dxa" w:w="900"/>
            <w:tcBorders>
              <w:top w:val="single" w:color="999999" w:sz="1"/>
              <w:left w:val="single" w:color="999999" w:sz="1"/>
              <w:bottom w:val="single" w:color="999999" w:sz="1"/>
              <w:right w:val="single" w:color="999999" w:sz="1"/>
            </w:tcBorders>
            <w:shd w:fill="DDE6F0" w:val="clear"/>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Split</w:t>
            </w:r>
          </w:p>
        </w:tc>
        <w:tc>
          <w:tcPr>
            <w:tcW w:type="dxa" w:w="420"/>
            <w:tcBorders>
              <w:top w:val="single" w:color="999999" w:sz="1"/>
              <w:left w:val="single" w:color="999999" w:sz="1"/>
              <w:bottom w:val="single" w:color="999999" w:sz="1"/>
              <w:right w:val="single" w:color="999999" w:sz="1"/>
            </w:tcBorders>
            <w:shd w:fill="DDE6F0" w:val="clear"/>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na</w:t>
            </w:r>
          </w:p>
        </w:tc>
        <w:tc>
          <w:tcPr>
            <w:tcW w:type="dxa" w:w="1310"/>
            <w:tcBorders>
              <w:top w:val="single" w:color="999999" w:sz="1"/>
              <w:left w:val="single" w:color="999999" w:sz="1"/>
              <w:bottom w:val="single" w:color="999999" w:sz="1"/>
              <w:right w:val="single" w:color="999999" w:sz="1"/>
            </w:tcBorders>
            <w:shd w:fill="DDE6F0" w:val="clear"/>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ROC-AUC</w:t>
            </w:r>
          </w:p>
        </w:tc>
        <w:tc>
          <w:tcPr>
            <w:tcW w:type="dxa" w:w="1300"/>
            <w:tcBorders>
              <w:top w:val="single" w:color="999999" w:sz="1"/>
              <w:left w:val="single" w:color="999999" w:sz="1"/>
              <w:bottom w:val="single" w:color="999999" w:sz="1"/>
              <w:right w:val="single" w:color="999999" w:sz="1"/>
            </w:tcBorders>
            <w:shd w:fill="DDE6F0" w:val="clear"/>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MCC</w:t>
            </w:r>
          </w:p>
        </w:tc>
      </w:tr>
      <w:tr>
        <w:tc>
          <w:tcPr>
            <w:tcW w:type="dxa" w:w="82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Nav1.5</w:t>
            </w:r>
          </w:p>
        </w:tc>
        <w:tc>
          <w:tcPr>
            <w:tcW w:type="dxa" w:w="90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Random</w:t>
            </w:r>
          </w:p>
        </w:tc>
        <w:tc>
          <w:tcPr>
            <w:tcW w:type="dxa" w:w="42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58</w:t>
            </w:r>
          </w:p>
        </w:tc>
        <w:tc>
          <w:tcPr>
            <w:tcW w:type="dxa" w:w="131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0.952 [0.914, 0.975]</w:t>
            </w:r>
          </w:p>
        </w:tc>
        <w:tc>
          <w:tcPr>
            <w:tcW w:type="dxa" w:w="130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0.597 [0.476, 0.712]</w:t>
            </w:r>
          </w:p>
        </w:tc>
      </w:tr>
      <w:tr>
        <w:tc>
          <w:tcPr>
            <w:tcW w:type="dxa" w:w="82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Nav1.5</w:t>
            </w:r>
          </w:p>
        </w:tc>
        <w:tc>
          <w:tcPr>
            <w:tcW w:type="dxa" w:w="90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Scaffold</w:t>
            </w:r>
          </w:p>
        </w:tc>
        <w:tc>
          <w:tcPr>
            <w:tcW w:type="dxa" w:w="42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78</w:t>
            </w:r>
          </w:p>
        </w:tc>
        <w:tc>
          <w:tcPr>
            <w:tcW w:type="dxa" w:w="131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0.945 [0.920, 0.965]</w:t>
            </w:r>
          </w:p>
        </w:tc>
        <w:tc>
          <w:tcPr>
            <w:tcW w:type="dxa" w:w="130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0.591 [0.491, 0.680]</w:t>
            </w:r>
          </w:p>
        </w:tc>
      </w:tr>
      <w:tr>
        <w:tc>
          <w:tcPr>
            <w:tcW w:type="dxa" w:w="82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Cav1.2</w:t>
            </w:r>
          </w:p>
        </w:tc>
        <w:tc>
          <w:tcPr>
            <w:tcW w:type="dxa" w:w="90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Random</w:t>
            </w:r>
          </w:p>
        </w:tc>
        <w:tc>
          <w:tcPr>
            <w:tcW w:type="dxa" w:w="42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8</w:t>
            </w:r>
          </w:p>
        </w:tc>
        <w:tc>
          <w:tcPr>
            <w:tcW w:type="dxa" w:w="131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0.922 [0.782, 0.996]</w:t>
            </w:r>
          </w:p>
        </w:tc>
        <w:tc>
          <w:tcPr>
            <w:tcW w:type="dxa" w:w="130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0.658 [0.277, 0.900]</w:t>
            </w:r>
          </w:p>
        </w:tc>
      </w:tr>
      <w:tr>
        <w:tc>
          <w:tcPr>
            <w:tcW w:type="dxa" w:w="82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Cav1.2</w:t>
            </w:r>
          </w:p>
        </w:tc>
        <w:tc>
          <w:tcPr>
            <w:tcW w:type="dxa" w:w="90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Scaffold</w:t>
            </w:r>
          </w:p>
        </w:tc>
        <w:tc>
          <w:tcPr>
            <w:tcW w:type="dxa" w:w="42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8</w:t>
            </w:r>
          </w:p>
        </w:tc>
        <w:tc>
          <w:tcPr>
            <w:tcW w:type="dxa" w:w="131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0.921 [0.697, 1.000]</w:t>
            </w:r>
          </w:p>
        </w:tc>
        <w:tc>
          <w:tcPr>
            <w:tcW w:type="dxa" w:w="1300"/>
            <w:tcBorders>
              <w:top w:val="single" w:color="999999" w:sz="1"/>
              <w:left w:val="single" w:color="999999" w:sz="1"/>
              <w:bottom w:val="single" w:color="999999" w:sz="1"/>
              <w:right w:val="single" w:color="999999" w:sz="1"/>
            </w:tcBorders>
            <w:tcMar>
              <w:top w:type="dxa" w:w="50"/>
              <w:left w:type="dxa" w:w="90"/>
              <w:bottom w:type="dxa" w:w="50"/>
              <w:right w:type="dxa" w:w="90"/>
            </w:tcMar>
          </w:tcPr>
          <w:p>
            <w:pPr>
              <w:jc w:val="center"/>
            </w:pPr>
            <w:r>
              <w:rPr>
                <w:rFonts w:ascii="Times New Roman" w:cs="Times New Roman" w:eastAsia="Times New Roman" w:hAnsi="Times New Roman"/>
                <w:b/>
                <w:bCs/>
                <w:sz w:val="15"/>
                <w:szCs w:val="15"/>
              </w:rPr>
              <w:t xml:space="preserve">0.627 [0.193, 0.909]</w:t>
            </w:r>
          </w:p>
        </w:tc>
      </w:tr>
    </w:tbl>
    <w:p>
      <w:pPr>
        <w:spacing w:after="20" w:before="80"/>
        <w:jc w:val="center"/>
      </w:pPr>
      <w:r>
        <w:drawing>
          <wp:inline distT="0" distB="0" distL="0" distR="0">
            <wp:extent cx="292417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24175" cy="1514475"/>
                    </a:xfrm>
                    <a:prstGeom prst="rect">
                      <a:avLst/>
                    </a:prstGeom>
                  </pic:spPr>
                </pic:pic>
              </a:graphicData>
            </a:graphic>
          </wp:inline>
        </w:drawing>
      </w:r>
    </w:p>
    <w:p>
      <w:pPr>
        <w:spacing w:after="140" w:before="40"/>
        <w:jc w:val="left"/>
      </w:pPr>
      <w:r>
        <w:rPr>
          <w:rFonts w:ascii="Times New Roman" w:cs="Times New Roman" w:eastAsia="Times New Roman" w:hAnsi="Times New Roman"/>
          <w:sz w:val="16"/>
          <w:szCs w:val="16"/>
        </w:rPr>
        <w:t xml:space="preserve">Fig. 5.  Bootstrap 95% CIs for ROC-AUC and MCC. Cav1.2 intervals span near-chance to near-perfect because only eight actives appear in its test set.</w:t>
      </w:r>
    </w:p>
    <w:p>
      <w:pPr>
        <w:spacing w:after="80" w:line="240"/>
        <w:ind w:firstLine="240"/>
        <w:jc w:val="both"/>
      </w:pPr>
      <w:r>
        <w:rPr>
          <w:rFonts w:ascii="Times New Roman" w:cs="Times New Roman" w:eastAsia="Times New Roman" w:hAnsi="Times New Roman"/>
          <w:sz w:val="20"/>
          <w:szCs w:val="20"/>
        </w:rPr>
        <w:t xml:space="preserve">For reference, the hERG ensembles reached internal ROC-AUC 0.927 (random forest) and 0.911 (XGBoost), with a logistic-regression baseline of 0.841, consistent with the published hERG literature and confirming that the pipeline is sound.</w:t>
      </w:r>
    </w:p>
    <w:p>
      <w:pPr>
        <w:spacing w:after="100" w:before="200"/>
        <w:jc w:val="center"/>
      </w:pPr>
      <w:r>
        <w:rPr>
          <w:rFonts w:ascii="Times New Roman" w:cs="Times New Roman" w:eastAsia="Times New Roman" w:hAnsi="Times New Roman"/>
          <w:b/>
          <w:bCs/>
          <w:sz w:val="20"/>
          <w:szCs w:val="20"/>
        </w:rPr>
        <w:t xml:space="preserve">IV.  DISCUSSION</w:t>
      </w:r>
    </w:p>
    <w:p>
      <w:pPr>
        <w:spacing w:after="80" w:line="240"/>
        <w:ind w:firstLine="240"/>
        <w:jc w:val="both"/>
      </w:pPr>
      <w:r>
        <w:rPr>
          <w:rFonts w:ascii="Times New Roman" w:cs="Times New Roman" w:eastAsia="Times New Roman" w:hAnsi="Times New Roman"/>
          <w:sz w:val="20"/>
          <w:szCs w:val="20"/>
        </w:rPr>
        <w:t xml:space="preserve">Two complementary results define the bottleneck. The controlled starvation curve shows that, on a clean and balanced benchmark, the performance a model can achieve is bounded by how many training compounds it has seen. The real-channel experiment shows that, separately, the performance a model can be shown to have is bounded by how many actives appear in the test set: with eight Cav1.2 actives, the CI swallows the estimate. Both point to the same underlying cause—limited experimental coverage—rather than any intrinsic difficulty of sodium or calcium channels.</w:t>
      </w:r>
    </w:p>
    <w:p>
      <w:pPr>
        <w:spacing w:after="80" w:line="240"/>
        <w:ind w:firstLine="240"/>
        <w:jc w:val="both"/>
      </w:pPr>
      <w:r>
        <w:rPr>
          <w:rFonts w:ascii="Times New Roman" w:cs="Times New Roman" w:eastAsia="Times New Roman" w:hAnsi="Times New Roman"/>
          <w:sz w:val="20"/>
          <w:szCs w:val="20"/>
        </w:rPr>
        <w:t xml:space="preserve">A natural assumption is that more careful evaluation, such as scaffold splitting, would expose inflated small-data scores. Our data do not support that assumption here: scaffold and random splits gave almost identical estimates for both channels. The honest reading is not that the under-studied channels are well modeled, but that at these sample sizes the evaluation is too underpowered for the split protocol to matter. Reporting a single strong AUC on a few hundred compounds with a handful of actives therefore conveys little, regardless of how the split is constructed.</w:t>
      </w:r>
    </w:p>
    <w:p>
      <w:pPr>
        <w:spacing w:after="80" w:line="240"/>
        <w:ind w:firstLine="240"/>
        <w:jc w:val="both"/>
      </w:pPr>
      <w:r>
        <w:rPr>
          <w:rFonts w:ascii="Times New Roman" w:cs="Times New Roman" w:eastAsia="Times New Roman" w:hAnsi="Times New Roman"/>
          <w:sz w:val="20"/>
          <w:szCs w:val="20"/>
        </w:rPr>
        <w:t xml:space="preserve">The practical implication is that the multi-channel cardiac-safety modeling the CiPA framework motivates is, at present, data-limited rather than method-limited. Progress likely depends first on generating and openly sharing Nav1.5 and Cav1.2 actives—and, ideally, compounds profiled across all three channels—before further architectural sophistication can be expected to help.</w:t>
      </w:r>
    </w:p>
    <w:p>
      <w:pPr>
        <w:spacing w:after="100" w:before="200"/>
        <w:jc w:val="center"/>
      </w:pPr>
      <w:r>
        <w:rPr>
          <w:rFonts w:ascii="Times New Roman" w:cs="Times New Roman" w:eastAsia="Times New Roman" w:hAnsi="Times New Roman"/>
          <w:b/>
          <w:bCs/>
          <w:sz w:val="20"/>
          <w:szCs w:val="20"/>
        </w:rPr>
        <w:t xml:space="preserve">V.  LIMITATIONS</w:t>
      </w:r>
    </w:p>
    <w:p>
      <w:pPr>
        <w:spacing w:after="80" w:line="240"/>
        <w:ind w:firstLine="240"/>
        <w:jc w:val="both"/>
      </w:pPr>
      <w:r>
        <w:rPr>
          <w:rFonts w:ascii="Times New Roman" w:cs="Times New Roman" w:eastAsia="Times New Roman" w:hAnsi="Times New Roman"/>
          <w:sz w:val="20"/>
          <w:szCs w:val="20"/>
        </w:rPr>
        <w:t xml:space="preserve">Several limitations bound these conclusions. Overlap was detected by exact two-dimensional canonical-structure matching only; analogs, salts, stereoisomers, and tautomers were not merged, so the true three-channel overlap is at most 90 and likely smaller. Public bioactivity data are also subject to publication bias, assay heterogeneity, and differences in experimental protocol between source datasets, which add noise to the labels. A single descriptor and fingerprint representation and conventional models were used; graph neural networks and pretrained molecular encoders were not assessed and could shift absolute performance, though not the active-count limit on measurability. Binary labels inherit the 1-µM threshold and the curation choices of the source datasets. The Cav1.2 test set is very small, so its intervals are wide by construction; this is the finding, but it also precludes fine model ranking. No prospective or temporal validation was performed, and results are specific to the public resources analyzed. This study makes no claim of methodological novelty.</w:t>
      </w:r>
    </w:p>
    <w:p>
      <w:pPr>
        <w:spacing w:after="100" w:before="200"/>
        <w:jc w:val="center"/>
      </w:pPr>
      <w:r>
        <w:rPr>
          <w:rFonts w:ascii="Times New Roman" w:cs="Times New Roman" w:eastAsia="Times New Roman" w:hAnsi="Times New Roman"/>
          <w:b/>
          <w:bCs/>
          <w:sz w:val="20"/>
          <w:szCs w:val="20"/>
        </w:rPr>
        <w:t xml:space="preserve">VI.  CONCLUSION</w:t>
      </w:r>
    </w:p>
    <w:p>
      <w:pPr>
        <w:spacing w:after="80" w:line="240"/>
        <w:ind w:firstLine="240"/>
        <w:jc w:val="both"/>
      </w:pPr>
      <w:r>
        <w:rPr>
          <w:rFonts w:ascii="Times New Roman" w:cs="Times New Roman" w:eastAsia="Times New Roman" w:hAnsi="Times New Roman"/>
          <w:sz w:val="20"/>
          <w:szCs w:val="20"/>
        </w:rPr>
        <w:t xml:space="preserve">Public data for the non-hERG channels central to multi-channel cardiac-safety assessment are scarce and heavily imbalanced, and almost no compounds are profiled across all three. A controlled experiment shows that training volume bounds achievable accuracy, while the under-studied channels show that the number of labeled actives bounds whether accuracy can be measured at all, independent of the train/test split. Multi-channel cardiotoxicity modeling is therefore currently constrained by measurement scarcity rather than channel difficulty. We hope this audit provides a benchmark for future multi-channel cardiotoxicity datasets and encourages community-wide reporting standards that emphasize uncertainty alongside predictive accuracy.</w:t>
      </w:r>
    </w:p>
    <w:p>
      <w:pPr>
        <w:spacing w:after="60" w:before="160"/>
      </w:pPr>
      <w:r>
        <w:rPr>
          <w:rFonts w:ascii="Times New Roman" w:cs="Times New Roman" w:eastAsia="Times New Roman" w:hAnsi="Times New Roman"/>
          <w:b/>
          <w:bCs/>
          <w:sz w:val="18"/>
          <w:szCs w:val="18"/>
        </w:rPr>
        <w:t xml:space="preserve">Data and Code Availability</w:t>
      </w:r>
    </w:p>
    <w:p>
      <w:pPr>
        <w:spacing w:after="80" w:line="240"/>
        <w:jc w:val="both"/>
      </w:pPr>
      <w:r>
        <w:rPr>
          <w:rFonts w:ascii="Times New Roman" w:cs="Times New Roman" w:eastAsia="Times New Roman" w:hAnsi="Times New Roman"/>
          <w:sz w:val="20"/>
          <w:szCs w:val="20"/>
        </w:rPr>
        <w:t xml:space="preserve">hERG data are available through the Therapeutics Data Commons; Nav1.5 and Cav1.2 data are available through ChEMBL. Code, cleaned datasets, trained models, and figures are available at https://github.com/Muhammadjon-crypto/multichannel-cardiotox-audit (archived on Zenodo).</w:t>
      </w:r>
    </w:p>
    <w:p>
      <w:pPr>
        <w:spacing w:after="60" w:before="120"/>
      </w:pPr>
      <w:r>
        <w:rPr>
          <w:rFonts w:ascii="Times New Roman" w:cs="Times New Roman" w:eastAsia="Times New Roman" w:hAnsi="Times New Roman"/>
          <w:b/>
          <w:bCs/>
          <w:sz w:val="18"/>
          <w:szCs w:val="18"/>
        </w:rPr>
        <w:t xml:space="preserve">Use of AI Tools</w:t>
      </w:r>
    </w:p>
    <w:p>
      <w:pPr>
        <w:spacing w:after="80" w:line="240"/>
        <w:jc w:val="both"/>
      </w:pPr>
      <w:r>
        <w:rPr>
          <w:rFonts w:ascii="Times New Roman" w:cs="Times New Roman" w:eastAsia="Times New Roman" w:hAnsi="Times New Roman"/>
          <w:sz w:val="20"/>
          <w:szCs w:val="20"/>
        </w:rPr>
        <w:t xml:space="preserve">AI-assisted tools were used for code scaffolding and manuscript drafting. All analyses and results were independently executed and verified, and the authors take full responsibility for the content.</w:t>
      </w:r>
    </w:p>
    <w:p>
      <w:pPr>
        <w:spacing w:after="100" w:before="200"/>
        <w:jc w:val="center"/>
      </w:pPr>
      <w:r>
        <w:rPr>
          <w:rFonts w:ascii="Times New Roman" w:cs="Times New Roman" w:eastAsia="Times New Roman" w:hAnsi="Times New Roman"/>
          <w:b/>
          <w:bCs/>
          <w:sz w:val="20"/>
          <w:szCs w:val="20"/>
        </w:rPr>
        <w:t xml:space="preserve">REFERENCES</w:t>
      </w:r>
    </w:p>
    <w:p>
      <w:pPr>
        <w:spacing w:after="30" w:line="210"/>
        <w:ind w:left="260" w:hanging="260"/>
        <w:jc w:val="both"/>
      </w:pPr>
      <w:r>
        <w:rPr>
          <w:rFonts w:ascii="Times New Roman" w:cs="Times New Roman" w:eastAsia="Times New Roman" w:hAnsi="Times New Roman"/>
          <w:sz w:val="16"/>
          <w:szCs w:val="16"/>
        </w:rPr>
        <w:t xml:space="preserve">[1]  J.-Y. Han et al., “Machine learning for predicting human drug-induced cardiotoxicity: a scoping review,” Toxics, vol. 13, no. 12, art. 1087, 2025.</w:t>
      </w:r>
    </w:p>
    <w:p>
      <w:pPr>
        <w:spacing w:after="30" w:line="210"/>
        <w:ind w:left="260" w:hanging="260"/>
        <w:jc w:val="both"/>
      </w:pPr>
      <w:r>
        <w:rPr>
          <w:rFonts w:ascii="Times New Roman" w:cs="Times New Roman" w:eastAsia="Times New Roman" w:hAnsi="Times New Roman"/>
          <w:sz w:val="16"/>
          <w:szCs w:val="16"/>
        </w:rPr>
        <w:t xml:space="preserve">[2]  T. Colatsky et al., “The Comprehensive in Vitro Proarrhythmia Assay (CiPA) initiative—update,” J. Pharmacol. Toxicol. Methods, vol. 81, pp. 15–20, 2016.</w:t>
      </w:r>
    </w:p>
    <w:p>
      <w:pPr>
        <w:spacing w:after="30" w:line="210"/>
        <w:ind w:left="260" w:hanging="260"/>
        <w:jc w:val="both"/>
      </w:pPr>
      <w:r>
        <w:rPr>
          <w:rFonts w:ascii="Times New Roman" w:cs="Times New Roman" w:eastAsia="Times New Roman" w:hAnsi="Times New Roman"/>
          <w:sz w:val="16"/>
          <w:szCs w:val="16"/>
        </w:rPr>
        <w:t xml:space="preserve">[3]  X. Bai et al., “Machine learning-enabled drug-induced toxicity prediction,” Adv. Sci., 2025.</w:t>
      </w:r>
    </w:p>
    <w:p>
      <w:pPr>
        <w:spacing w:after="30" w:line="210"/>
        <w:ind w:left="260" w:hanging="260"/>
        <w:jc w:val="both"/>
      </w:pPr>
      <w:r>
        <w:rPr>
          <w:rFonts w:ascii="Times New Roman" w:cs="Times New Roman" w:eastAsia="Times New Roman" w:hAnsi="Times New Roman"/>
          <w:sz w:val="16"/>
          <w:szCs w:val="16"/>
        </w:rPr>
        <w:t xml:space="preserve">[4]  A. Karim, M. Lee, T. Balle, and A. Sattar, “CardioTox net: a robust predictor for hERG channel blockade based on deep learning meta-feature ensembles,” J. Cheminform., vol. 13, art. 60, 2021.</w:t>
      </w:r>
    </w:p>
    <w:p>
      <w:pPr>
        <w:spacing w:after="30" w:line="210"/>
        <w:ind w:left="260" w:hanging="260"/>
        <w:jc w:val="both"/>
      </w:pPr>
      <w:r>
        <w:rPr>
          <w:rFonts w:ascii="Times New Roman" w:cs="Times New Roman" w:eastAsia="Times New Roman" w:hAnsi="Times New Roman"/>
          <w:sz w:val="16"/>
          <w:szCs w:val="16"/>
        </w:rPr>
        <w:t xml:space="preserve">[5]  C. Cai et al., “Deep learning-based prediction of drug-induced cardiotoxicity,” J. Chem. Inf. Model., vol. 59, no. 3, pp. 1073–1084, 2019.</w:t>
      </w:r>
    </w:p>
    <w:p>
      <w:pPr>
        <w:spacing w:after="30" w:line="210"/>
        <w:ind w:left="260" w:hanging="260"/>
        <w:jc w:val="both"/>
      </w:pPr>
      <w:r>
        <w:rPr>
          <w:rFonts w:ascii="Times New Roman" w:cs="Times New Roman" w:eastAsia="Times New Roman" w:hAnsi="Times New Roman"/>
          <w:sz w:val="16"/>
          <w:szCs w:val="16"/>
        </w:rPr>
        <w:t xml:space="preserve">[6]  I. Arab and K. Barakat, “ToxTree: descriptor-based machine learning models for hERG and Nav1.5 cardiotoxicity liability prediction,” arXiv:2112.13467, 2021.</w:t>
      </w:r>
    </w:p>
    <w:p>
      <w:pPr>
        <w:spacing w:after="30" w:line="210"/>
        <w:ind w:left="260" w:hanging="260"/>
        <w:jc w:val="both"/>
      </w:pPr>
      <w:r>
        <w:rPr>
          <w:rFonts w:ascii="Times New Roman" w:cs="Times New Roman" w:eastAsia="Times New Roman" w:hAnsi="Times New Roman"/>
          <w:sz w:val="16"/>
          <w:szCs w:val="16"/>
        </w:rPr>
        <w:t xml:space="preserve">[7]  K. Huang et al., “Artificial intelligence foundation for therapeutic science,” Nat. Chem. Biol., vol. 18, pp. 1033–1036, 2022.</w:t>
      </w:r>
    </w:p>
    <w:p>
      <w:pPr>
        <w:spacing w:after="30" w:line="210"/>
        <w:ind w:left="260" w:hanging="260"/>
        <w:jc w:val="both"/>
      </w:pPr>
      <w:r>
        <w:rPr>
          <w:rFonts w:ascii="Times New Roman" w:cs="Times New Roman" w:eastAsia="Times New Roman" w:hAnsi="Times New Roman"/>
          <w:sz w:val="16"/>
          <w:szCs w:val="16"/>
        </w:rPr>
        <w:t xml:space="preserve">[8]  D. Mendez et al., “ChEMBL: towards direct deposition of bioassay data,” Nucleic Acids Res., vol. 47, no. D1, pp. D930–D940, 2019.</w:t>
      </w:r>
    </w:p>
    <w:p>
      <w:pPr>
        <w:spacing w:after="30" w:line="210"/>
        <w:ind w:left="260" w:hanging="260"/>
        <w:jc w:val="both"/>
      </w:pPr>
      <w:r>
        <w:rPr>
          <w:rFonts w:ascii="Times New Roman" w:cs="Times New Roman" w:eastAsia="Times New Roman" w:hAnsi="Times New Roman"/>
          <w:sz w:val="16"/>
          <w:szCs w:val="16"/>
        </w:rPr>
        <w:t xml:space="preserve">[9]  G. Landrum, “RDKit: open-source cheminformatics,” https://www.rdkit.org (accessed Jun. 2026).</w:t>
      </w:r>
    </w:p>
    <w:p>
      <w:pPr>
        <w:spacing w:after="30" w:line="210"/>
        <w:ind w:left="260" w:hanging="260"/>
        <w:jc w:val="both"/>
      </w:pPr>
      <w:r>
        <w:rPr>
          <w:rFonts w:ascii="Times New Roman" w:cs="Times New Roman" w:eastAsia="Times New Roman" w:hAnsi="Times New Roman"/>
          <w:sz w:val="16"/>
          <w:szCs w:val="16"/>
        </w:rPr>
        <w:t xml:space="preserve">[10]  G. W. Bemis and M. A. Murcko, “The properties of known drugs. 1. Molecular frameworks,” J. Med. Chem., vol. 39, no. 15, pp. 2887–2893, 1996.</w:t>
      </w:r>
    </w:p>
    <w:p>
      <w:pPr>
        <w:spacing w:after="30" w:line="210"/>
        <w:ind w:left="260" w:hanging="260"/>
        <w:jc w:val="both"/>
      </w:pPr>
      <w:r>
        <w:rPr>
          <w:rFonts w:ascii="Times New Roman" w:cs="Times New Roman" w:eastAsia="Times New Roman" w:hAnsi="Times New Roman"/>
          <w:sz w:val="16"/>
          <w:szCs w:val="16"/>
        </w:rPr>
        <w:t xml:space="preserve">[11]  T. Chen and C. Guestrin, “XGBoost: a scalable tree boosting system,” in Proc. 22nd ACM SIGKDD, 2016, pp. 785–794.</w:t>
      </w:r>
    </w:p>
    <w:p>
      <w:pPr>
        <w:spacing w:after="30" w:line="210"/>
        <w:ind w:left="260" w:hanging="260"/>
        <w:jc w:val="both"/>
      </w:pPr>
      <w:r>
        <w:rPr>
          <w:rFonts w:ascii="Times New Roman" w:cs="Times New Roman" w:eastAsia="Times New Roman" w:hAnsi="Times New Roman"/>
          <w:sz w:val="16"/>
          <w:szCs w:val="16"/>
        </w:rPr>
        <w:t xml:space="preserve">[12]  F. Pedregosa et al., “Scikit-learn: machine learning in Python,” J. Mach. Learn. Res., vol. 12, pp. 2825–2830, 2011.</w:t>
      </w:r>
    </w:p>
    <w:p>
      <w:pPr>
        <w:spacing w:after="30" w:line="210"/>
        <w:ind w:left="260" w:hanging="260"/>
        <w:jc w:val="both"/>
      </w:pPr>
      <w:r>
        <w:rPr>
          <w:rFonts w:ascii="Times New Roman" w:cs="Times New Roman" w:eastAsia="Times New Roman" w:hAnsi="Times New Roman"/>
          <w:sz w:val="16"/>
          <w:szCs w:val="16"/>
        </w:rPr>
        <w:t xml:space="preserve">[13]  R. P. Sheridan, “Time-split cross-validation as a method for estimating the goodness of prospective prediction,” J. Chem. Inf. Model., vol. 53, no. 4, pp. 783–790, 2013.</w:t>
      </w:r>
    </w:p>
    <w:p>
      <w:pPr>
        <w:spacing w:after="30" w:line="210"/>
        <w:ind w:left="260" w:hanging="260"/>
        <w:jc w:val="both"/>
      </w:pPr>
      <w:r>
        <w:rPr>
          <w:rFonts w:ascii="Times New Roman" w:cs="Times New Roman" w:eastAsia="Times New Roman" w:hAnsi="Times New Roman"/>
          <w:sz w:val="16"/>
          <w:szCs w:val="16"/>
        </w:rPr>
        <w:t xml:space="preserve">[14]  J. Bernett et al., “Guiding questions to avoid data leakage in biological machine learning applications,” Nat. Methods, vol. 21, no. 8, pp. 1444–1453, 2024.</w:t>
      </w:r>
    </w:p>
    <w:p>
      <w:pPr>
        <w:spacing w:after="30" w:line="210"/>
        <w:ind w:left="260" w:hanging="260"/>
        <w:jc w:val="both"/>
      </w:pPr>
      <w:r>
        <w:rPr>
          <w:rFonts w:ascii="Times New Roman" w:cs="Times New Roman" w:eastAsia="Times New Roman" w:hAnsi="Times New Roman"/>
          <w:sz w:val="16"/>
          <w:szCs w:val="16"/>
        </w:rPr>
        <w:t xml:space="preserve">[15]  B. W. Matthews, “Comparison of the predicted and observed secondary structure of T4 phage lysozyme,” Biochim. Biophys. Acta, vol. 405, no. 2, pp. 442–451, 1975.</w:t>
      </w:r>
    </w:p>
    <w:sectPr>
      <w:type w:val="continuous"/>
      <w:pgSz w:w="12240" w:h="15840" w:orient="portrait"/>
      <w:pgMar w:top="1080" w:right="1080" w:bottom="1080" w:left="1080" w:header="708" w:footer="708" w:gutter="0"/>
      <w:pgNumType/>
      <w:cols w:space="432"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cf030a093e5ad7747365c06b08af38ef735c8d9.png"/><Relationship Id="rId8" Type="http://schemas.openxmlformats.org/officeDocument/2006/relationships/image" Target="media/c228ef2f276dbbf23b3d5a51cf5f9e39a327fd52.png"/><Relationship Id="rId9" Type="http://schemas.openxmlformats.org/officeDocument/2006/relationships/image" Target="media/884bf8e07c84c3872ffaa1fa09872fe071b3257d.png"/><Relationship Id="rId10" Type="http://schemas.openxmlformats.org/officeDocument/2006/relationships/image" Target="media/5a6f86be279b5fdc48d4778cc2d55d019f54549e.png"/><Relationship Id="rId11" Type="http://schemas.openxmlformats.org/officeDocument/2006/relationships/image" Target="media/2292f02477773d396fe61ca385eaebb769f80d0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2026-06-30T02:52:37.947Z</dcterms:created>
  <dcterms:modified xsi:type="dcterms:W3CDTF">2026-06-30T02:52:37.947Z</dcterms:modified>
</cp:coreProperties>
</file>

<file path=docProps/custom.xml><?xml version="1.0" encoding="utf-8"?>
<Properties xmlns="http://schemas.openxmlformats.org/officeDocument/2006/custom-properties" xmlns:vt="http://schemas.openxmlformats.org/officeDocument/2006/docPropsVTypes"/>
</file>