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EC2DE" w14:textId="77777777" w:rsidR="000715C8" w:rsidRPr="000715C8" w:rsidRDefault="000715C8" w:rsidP="000715C8">
      <w:pPr>
        <w:spacing w:before="100" w:beforeAutospacing="1" w:after="100" w:afterAutospacing="1" w:line="240" w:lineRule="auto"/>
        <w:outlineLvl w:val="0"/>
        <w:rPr>
          <w:rFonts w:ascii="Arial" w:eastAsia="Times New Roman" w:hAnsi="Arial" w:cs="Arial"/>
          <w:b/>
          <w:bCs/>
          <w:color w:val="787C99"/>
          <w:kern w:val="36"/>
          <w:sz w:val="48"/>
          <w:szCs w:val="48"/>
          <w:lang w:eastAsia="en-GB"/>
          <w14:ligatures w14:val="none"/>
        </w:rPr>
      </w:pPr>
      <w:r w:rsidRPr="000715C8">
        <w:rPr>
          <w:rFonts w:ascii="Arial" w:eastAsia="Times New Roman" w:hAnsi="Arial" w:cs="Arial"/>
          <w:b/>
          <w:bCs/>
          <w:color w:val="787C99"/>
          <w:kern w:val="36"/>
          <w:sz w:val="48"/>
          <w:szCs w:val="48"/>
          <w:lang w:eastAsia="en-GB"/>
          <w14:ligatures w14:val="none"/>
        </w:rPr>
        <w:t>Automated Cyber Threat Intelligence Extraction and STIX 2.1 Generation: A Hybrid Joint-Extraction Framework</w:t>
      </w:r>
    </w:p>
    <w:p w14:paraId="10267CFE"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b/>
          <w:bCs/>
          <w:color w:val="787C99"/>
          <w:kern w:val="0"/>
          <w:sz w:val="21"/>
          <w:szCs w:val="21"/>
          <w:lang w:eastAsia="en-GB"/>
          <w14:ligatures w14:val="none"/>
        </w:rPr>
        <w:t>Abstract</w:t>
      </w:r>
      <w:r w:rsidRPr="000715C8">
        <w:rPr>
          <w:rFonts w:ascii="Arial" w:eastAsia="Times New Roman" w:hAnsi="Arial" w:cs="Arial"/>
          <w:color w:val="787C99"/>
          <w:kern w:val="0"/>
          <w:sz w:val="21"/>
          <w:szCs w:val="21"/>
          <w:lang w:eastAsia="en-GB"/>
          <w14:ligatures w14:val="none"/>
        </w:rPr>
        <w:t> Cyber Threat Intelligence (CTI) reports are a critical source of information for security operations, yet the vast majority of this data exists in unstructured text formats that are difficult to ingest automatically. Existing extraction pipelines often suffer from error propagation, where failures in entity recognition lead to missed relationships, and lack semantic validation, leading to "hallucinated" or non-standard output. In this paper, we present a novel hybrid framework for automated CTI extraction and STIX 2.1 generation. Our approach integrates deterministic Knowledge Base matching for high-precision entity identification with a BERT-based Joint Entity and Relationship Extraction (TIRE) model to capture complex semantic dependencies. We further introduce a "Generate-then-Validate" data fusion layer powered by a Large Language Model (LLM) to ensure semantic consistency and standard compliance. We demonstrate that this architecture significantly improves the recall of novel threat entities while maintaining strict adherence to the STIX 2.1 standard.</w:t>
      </w:r>
    </w:p>
    <w:p w14:paraId="2F95D48C" w14:textId="77777777" w:rsidR="000715C8" w:rsidRPr="000715C8" w:rsidRDefault="000715C8" w:rsidP="000715C8">
      <w:pPr>
        <w:spacing w:before="100" w:beforeAutospacing="1" w:after="100" w:afterAutospacing="1" w:line="240" w:lineRule="auto"/>
        <w:outlineLvl w:val="1"/>
        <w:rPr>
          <w:rFonts w:ascii="Arial" w:eastAsia="Times New Roman" w:hAnsi="Arial" w:cs="Arial"/>
          <w:b/>
          <w:bCs/>
          <w:color w:val="787C99"/>
          <w:kern w:val="0"/>
          <w:sz w:val="36"/>
          <w:szCs w:val="36"/>
          <w:lang w:eastAsia="en-GB"/>
          <w14:ligatures w14:val="none"/>
        </w:rPr>
      </w:pPr>
      <w:r w:rsidRPr="000715C8">
        <w:rPr>
          <w:rFonts w:ascii="Arial" w:eastAsia="Times New Roman" w:hAnsi="Arial" w:cs="Arial"/>
          <w:b/>
          <w:bCs/>
          <w:color w:val="787C99"/>
          <w:kern w:val="0"/>
          <w:sz w:val="36"/>
          <w:szCs w:val="36"/>
          <w:lang w:eastAsia="en-GB"/>
          <w14:ligatures w14:val="none"/>
        </w:rPr>
        <w:t>1. Introduction</w:t>
      </w:r>
    </w:p>
    <w:p w14:paraId="2207C226"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color w:val="787C99"/>
          <w:kern w:val="0"/>
          <w:sz w:val="21"/>
          <w:szCs w:val="21"/>
          <w:lang w:eastAsia="en-GB"/>
          <w14:ligatures w14:val="none"/>
        </w:rPr>
        <w:t>The rapid escalation of cyber threats has necessitated the sharing of actionable intelligence across organizations. The Structured Threat Information Expression (STIX) standard has emerged as the de facto language for this exchange. However, the manual translation of unstructured vendor reports, blogs, and whitepapers into STIX graphs is a labor-intensive bottleneck.</w:t>
      </w:r>
    </w:p>
    <w:p w14:paraId="1EAFE3A1"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color w:val="787C99"/>
          <w:kern w:val="0"/>
          <w:sz w:val="21"/>
          <w:szCs w:val="21"/>
          <w:lang w:eastAsia="en-GB"/>
          <w14:ligatures w14:val="none"/>
        </w:rPr>
        <w:t>Automated CTI extraction systems aim to bridge this gap but face two primary challenges:</w:t>
      </w:r>
    </w:p>
    <w:p w14:paraId="5CBC5753" w14:textId="77777777" w:rsidR="000715C8" w:rsidRPr="000715C8" w:rsidRDefault="000715C8" w:rsidP="000715C8">
      <w:pPr>
        <w:numPr>
          <w:ilvl w:val="0"/>
          <w:numId w:val="19"/>
        </w:numPr>
        <w:spacing w:before="100" w:beforeAutospacing="1" w:after="100" w:afterAutospacing="1"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b/>
          <w:bCs/>
          <w:color w:val="787C99"/>
          <w:kern w:val="0"/>
          <w:sz w:val="21"/>
          <w:szCs w:val="21"/>
          <w:lang w:eastAsia="en-GB"/>
          <w14:ligatures w14:val="none"/>
        </w:rPr>
        <w:t>Error Propagation</w:t>
      </w:r>
      <w:r w:rsidRPr="000715C8">
        <w:rPr>
          <w:rFonts w:ascii="Arial" w:eastAsia="Times New Roman" w:hAnsi="Arial" w:cs="Arial"/>
          <w:color w:val="787C99"/>
          <w:kern w:val="0"/>
          <w:sz w:val="21"/>
          <w:szCs w:val="21"/>
          <w:lang w:eastAsia="en-GB"/>
          <w14:ligatures w14:val="none"/>
        </w:rPr>
        <w:t>: Traditional pipelined approaches extract entities and relationships sequentially. If an entity is missed or misclassified, the downstream relationship extraction fails inevitably.</w:t>
      </w:r>
    </w:p>
    <w:p w14:paraId="406F0210" w14:textId="77777777" w:rsidR="000715C8" w:rsidRPr="000715C8" w:rsidRDefault="000715C8" w:rsidP="000715C8">
      <w:pPr>
        <w:numPr>
          <w:ilvl w:val="0"/>
          <w:numId w:val="19"/>
        </w:numPr>
        <w:spacing w:before="100" w:beforeAutospacing="1" w:after="100" w:afterAutospacing="1"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b/>
          <w:bCs/>
          <w:color w:val="787C99"/>
          <w:kern w:val="0"/>
          <w:sz w:val="21"/>
          <w:szCs w:val="21"/>
          <w:lang w:eastAsia="en-GB"/>
          <w14:ligatures w14:val="none"/>
        </w:rPr>
        <w:t>Semantic Ambiguity</w:t>
      </w:r>
      <w:r w:rsidRPr="000715C8">
        <w:rPr>
          <w:rFonts w:ascii="Arial" w:eastAsia="Times New Roman" w:hAnsi="Arial" w:cs="Arial"/>
          <w:color w:val="787C99"/>
          <w:kern w:val="0"/>
          <w:sz w:val="21"/>
          <w:szCs w:val="21"/>
          <w:lang w:eastAsia="en-GB"/>
          <w14:ligatures w14:val="none"/>
        </w:rPr>
        <w:t>: Heuristic or purely statistical models often generate outputs that are syntactically correct but semantically invalid (e.g., identifying a "Malware" as a "Threat Actor") or fail to normalize entities to canonical forms (e.g., mapping "APT28" to "Fancy Bear").</w:t>
      </w:r>
    </w:p>
    <w:p w14:paraId="7DAF03C3"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color w:val="787C99"/>
          <w:kern w:val="0"/>
          <w:sz w:val="21"/>
          <w:szCs w:val="21"/>
          <w:lang w:eastAsia="en-GB"/>
          <w14:ligatures w14:val="none"/>
        </w:rPr>
        <w:t>To address these challenges, we propose a unified framework that combines the precision of rule-based systems with the generalization power of deep learning. Our system employs a parallel extraction architecture that fuses inputs from a curated Knowledge Base, technical indicator extractors, and a Joint Entity-Relation Extraction model (TIRE). A final semantic validation layer utilizing a Large Language Model (LLM) ensures that the generated STIX bundles are both accurate and hallucination-free.</w:t>
      </w:r>
    </w:p>
    <w:p w14:paraId="3E305BE2" w14:textId="77777777" w:rsidR="000715C8" w:rsidRPr="000715C8" w:rsidRDefault="000715C8" w:rsidP="000715C8">
      <w:pPr>
        <w:spacing w:before="100" w:beforeAutospacing="1" w:after="100" w:afterAutospacing="1" w:line="240" w:lineRule="auto"/>
        <w:outlineLvl w:val="1"/>
        <w:rPr>
          <w:rFonts w:ascii="Arial" w:eastAsia="Times New Roman" w:hAnsi="Arial" w:cs="Arial"/>
          <w:b/>
          <w:bCs/>
          <w:color w:val="787C99"/>
          <w:kern w:val="0"/>
          <w:sz w:val="36"/>
          <w:szCs w:val="36"/>
          <w:lang w:eastAsia="en-GB"/>
          <w14:ligatures w14:val="none"/>
        </w:rPr>
      </w:pPr>
      <w:r w:rsidRPr="000715C8">
        <w:rPr>
          <w:rFonts w:ascii="Arial" w:eastAsia="Times New Roman" w:hAnsi="Arial" w:cs="Arial"/>
          <w:b/>
          <w:bCs/>
          <w:color w:val="787C99"/>
          <w:kern w:val="0"/>
          <w:sz w:val="36"/>
          <w:szCs w:val="36"/>
          <w:lang w:eastAsia="en-GB"/>
          <w14:ligatures w14:val="none"/>
        </w:rPr>
        <w:t>2. Related Work</w:t>
      </w:r>
    </w:p>
    <w:p w14:paraId="6041B34F"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color w:val="787C99"/>
          <w:kern w:val="0"/>
          <w:sz w:val="21"/>
          <w:szCs w:val="21"/>
          <w:lang w:eastAsia="en-GB"/>
          <w14:ligatures w14:val="none"/>
        </w:rPr>
        <w:t>Early CTI extraction relied heavily on regular expressions and ontology mapping, which offered high precision but poor recall for novel threats. Subsequent approaches utilized supervised machine learning (CRF, SVM) for Named Entity Recognition (NER), followed by separate classifiers for Relation Extraction (RE). Recent advancements have shifted towards joint extraction models that perform NER and RE simultaneously to capture inter-task dependencies. Our work builds upon these joint models, specifically adapting the TIRE architecture for the CTI domain and augmenting it with a neuro-symbolic validation stage.</w:t>
      </w:r>
    </w:p>
    <w:p w14:paraId="5388BF1B" w14:textId="77777777" w:rsidR="000715C8" w:rsidRPr="000715C8" w:rsidRDefault="000715C8" w:rsidP="000715C8">
      <w:pPr>
        <w:spacing w:before="100" w:beforeAutospacing="1" w:after="100" w:afterAutospacing="1" w:line="240" w:lineRule="auto"/>
        <w:outlineLvl w:val="1"/>
        <w:rPr>
          <w:rFonts w:ascii="Arial" w:eastAsia="Times New Roman" w:hAnsi="Arial" w:cs="Arial"/>
          <w:b/>
          <w:bCs/>
          <w:color w:val="787C99"/>
          <w:kern w:val="0"/>
          <w:sz w:val="36"/>
          <w:szCs w:val="36"/>
          <w:lang w:eastAsia="en-GB"/>
          <w14:ligatures w14:val="none"/>
        </w:rPr>
      </w:pPr>
      <w:r w:rsidRPr="000715C8">
        <w:rPr>
          <w:rFonts w:ascii="Arial" w:eastAsia="Times New Roman" w:hAnsi="Arial" w:cs="Arial"/>
          <w:b/>
          <w:bCs/>
          <w:color w:val="787C99"/>
          <w:kern w:val="0"/>
          <w:sz w:val="36"/>
          <w:szCs w:val="36"/>
          <w:lang w:eastAsia="en-GB"/>
          <w14:ligatures w14:val="none"/>
        </w:rPr>
        <w:lastRenderedPageBreak/>
        <w:t>3. System Architecture</w:t>
      </w:r>
    </w:p>
    <w:p w14:paraId="40184DBE"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color w:val="787C99"/>
          <w:kern w:val="0"/>
          <w:sz w:val="21"/>
          <w:szCs w:val="21"/>
          <w:lang w:eastAsia="en-GB"/>
          <w14:ligatures w14:val="none"/>
        </w:rPr>
        <w:t>We present a modular, multi-stage framework for the automated extraction of Cyber Threat Intelligence (CTI) from unstructured text and its transformation into validated STIX 2.1 graphs. The system architecture adopts a hybrid methodology that integrates deterministic rule-based extraction with probabilistic deep learning models to balance high precision for known threat actors with the capability to discover novel entities and relationships.</w:t>
      </w:r>
    </w:p>
    <w:p w14:paraId="7F6B512E" w14:textId="77777777" w:rsidR="000715C8" w:rsidRPr="000715C8" w:rsidRDefault="000715C8" w:rsidP="000715C8">
      <w:pPr>
        <w:spacing w:before="100" w:beforeAutospacing="1" w:after="100" w:afterAutospacing="1" w:line="240" w:lineRule="auto"/>
        <w:outlineLvl w:val="2"/>
        <w:rPr>
          <w:rFonts w:ascii="Arial" w:eastAsia="Times New Roman" w:hAnsi="Arial" w:cs="Arial"/>
          <w:color w:val="787C99"/>
          <w:kern w:val="0"/>
          <w:sz w:val="27"/>
          <w:szCs w:val="27"/>
          <w:lang w:eastAsia="en-GB"/>
          <w14:ligatures w14:val="none"/>
        </w:rPr>
      </w:pPr>
      <w:r w:rsidRPr="000715C8">
        <w:rPr>
          <w:rFonts w:ascii="Arial" w:eastAsia="Times New Roman" w:hAnsi="Arial" w:cs="Arial"/>
          <w:color w:val="787C99"/>
          <w:kern w:val="0"/>
          <w:sz w:val="27"/>
          <w:szCs w:val="27"/>
          <w:lang w:eastAsia="en-GB"/>
          <w14:ligatures w14:val="none"/>
        </w:rPr>
        <w:t>3.1. Hybrid Entity Extraction Layer</w:t>
      </w:r>
    </w:p>
    <w:p w14:paraId="531645C6"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color w:val="787C99"/>
          <w:kern w:val="0"/>
          <w:sz w:val="21"/>
          <w:szCs w:val="21"/>
          <w:lang w:eastAsia="en-GB"/>
          <w14:ligatures w14:val="none"/>
        </w:rPr>
        <w:t>The initial processing stage executes four parallel extraction modules to maximize recall across diverse entity categories:</w:t>
      </w:r>
    </w:p>
    <w:p w14:paraId="187FA4B5" w14:textId="77777777" w:rsidR="000715C8" w:rsidRPr="000715C8" w:rsidRDefault="000715C8" w:rsidP="000715C8">
      <w:pPr>
        <w:numPr>
          <w:ilvl w:val="0"/>
          <w:numId w:val="20"/>
        </w:numPr>
        <w:spacing w:before="100" w:beforeAutospacing="1" w:after="100" w:afterAutospacing="1"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b/>
          <w:bCs/>
          <w:color w:val="787C99"/>
          <w:kern w:val="0"/>
          <w:sz w:val="21"/>
          <w:szCs w:val="21"/>
          <w:lang w:eastAsia="en-GB"/>
          <w14:ligatures w14:val="none"/>
        </w:rPr>
        <w:t>Knowledge Base (KB) Matching</w:t>
      </w:r>
      <w:r w:rsidRPr="000715C8">
        <w:rPr>
          <w:rFonts w:ascii="Arial" w:eastAsia="Times New Roman" w:hAnsi="Arial" w:cs="Arial"/>
          <w:color w:val="787C99"/>
          <w:kern w:val="0"/>
          <w:sz w:val="21"/>
          <w:szCs w:val="21"/>
          <w:lang w:eastAsia="en-GB"/>
          <w14:ligatures w14:val="none"/>
        </w:rPr>
        <w:t>: We employ a dictionary-based approach utilizing a curated local Knowledge Base derived from MITRE ATT&amp;CK and proprietary intelligence. This module utilizes optimized regular expressions with longest-span deduplication and strict word-boundary enforcement to identify known Threat Actors, Malware, and Tools. It resolves aliasing (e.g., normalizing "Fancy Bear" to "APT28") to ensure canonical entity representation.</w:t>
      </w:r>
    </w:p>
    <w:p w14:paraId="73DE7D2E" w14:textId="77777777" w:rsidR="000715C8" w:rsidRPr="000715C8" w:rsidRDefault="000715C8" w:rsidP="000715C8">
      <w:pPr>
        <w:numPr>
          <w:ilvl w:val="0"/>
          <w:numId w:val="20"/>
        </w:numPr>
        <w:spacing w:before="100" w:beforeAutospacing="1" w:after="100" w:afterAutospacing="1"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b/>
          <w:bCs/>
          <w:color w:val="787C99"/>
          <w:kern w:val="0"/>
          <w:sz w:val="21"/>
          <w:szCs w:val="21"/>
          <w:lang w:eastAsia="en-GB"/>
          <w14:ligatures w14:val="none"/>
        </w:rPr>
        <w:t>Technical Indicator Extraction</w:t>
      </w:r>
      <w:r w:rsidRPr="000715C8">
        <w:rPr>
          <w:rFonts w:ascii="Arial" w:eastAsia="Times New Roman" w:hAnsi="Arial" w:cs="Arial"/>
          <w:color w:val="787C99"/>
          <w:kern w:val="0"/>
          <w:sz w:val="21"/>
          <w:szCs w:val="21"/>
          <w:lang w:eastAsia="en-GB"/>
          <w14:ligatures w14:val="none"/>
        </w:rPr>
        <w:t>: A specialized regex-based module extracts technical Indicators of Compromise (IOCs), including IPv4 addresses, file hashes (MD5, SHA-256), domains, and email addresses. This component includes pre-processing routines to reconstruct "defanged" indicators often found in open-source reporting.</w:t>
      </w:r>
    </w:p>
    <w:p w14:paraId="39754E37" w14:textId="77777777" w:rsidR="000715C8" w:rsidRPr="000715C8" w:rsidRDefault="000715C8" w:rsidP="000715C8">
      <w:pPr>
        <w:numPr>
          <w:ilvl w:val="0"/>
          <w:numId w:val="20"/>
        </w:numPr>
        <w:spacing w:before="100" w:beforeAutospacing="1" w:after="100" w:afterAutospacing="1"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b/>
          <w:bCs/>
          <w:color w:val="787C99"/>
          <w:kern w:val="0"/>
          <w:sz w:val="21"/>
          <w:szCs w:val="21"/>
          <w:lang w:eastAsia="en-GB"/>
          <w14:ligatures w14:val="none"/>
        </w:rPr>
        <w:t>Novel Entity Discovery</w:t>
      </w:r>
      <w:r w:rsidRPr="000715C8">
        <w:rPr>
          <w:rFonts w:ascii="Arial" w:eastAsia="Times New Roman" w:hAnsi="Arial" w:cs="Arial"/>
          <w:color w:val="787C99"/>
          <w:kern w:val="0"/>
          <w:sz w:val="21"/>
          <w:szCs w:val="21"/>
          <w:lang w:eastAsia="en-GB"/>
          <w14:ligatures w14:val="none"/>
        </w:rPr>
        <w:t>: To identify emerging threats absent from the Knowledge Base, we implement a heuristic module combining Part-of-Speech (POS) tagging via spaCy with lexico-syntactic pattern matching (e.g., "dubbed [PROPN]", "tracked as [PROPN]"). This module filters candidates against the existing KB to isolate strictly novel entities.</w:t>
      </w:r>
    </w:p>
    <w:p w14:paraId="64465B3C" w14:textId="77777777" w:rsidR="000715C8" w:rsidRPr="000715C8" w:rsidRDefault="000715C8" w:rsidP="000715C8">
      <w:pPr>
        <w:numPr>
          <w:ilvl w:val="0"/>
          <w:numId w:val="20"/>
        </w:numPr>
        <w:spacing w:before="100" w:beforeAutospacing="1" w:after="100" w:afterAutospacing="1"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b/>
          <w:bCs/>
          <w:color w:val="787C99"/>
          <w:kern w:val="0"/>
          <w:sz w:val="21"/>
          <w:szCs w:val="21"/>
          <w:lang w:eastAsia="en-GB"/>
          <w14:ligatures w14:val="none"/>
        </w:rPr>
        <w:t>TTP Classification</w:t>
      </w:r>
      <w:r w:rsidRPr="000715C8">
        <w:rPr>
          <w:rFonts w:ascii="Arial" w:eastAsia="Times New Roman" w:hAnsi="Arial" w:cs="Arial"/>
          <w:color w:val="787C99"/>
          <w:kern w:val="0"/>
          <w:sz w:val="21"/>
          <w:szCs w:val="21"/>
          <w:lang w:eastAsia="en-GB"/>
          <w14:ligatures w14:val="none"/>
        </w:rPr>
        <w:t>: Tactics, Techniques, and Procedures (TTPs) are extracted using a multi-label classification framework. We utilize an ensemble of TF-IDF vectorization and Linear Support Vector Classifiers (LinearSVC) to map text segments to MITRE ATT&amp;CK codes. A Confidence Propagation (CP) algorithm refines technique predictions by leveraging the hierarchical dependencies between Tactics and Techniques.</w:t>
      </w:r>
    </w:p>
    <w:p w14:paraId="7A270308" w14:textId="77777777" w:rsidR="000715C8" w:rsidRPr="000715C8" w:rsidRDefault="000715C8" w:rsidP="000715C8">
      <w:pPr>
        <w:spacing w:before="100" w:beforeAutospacing="1" w:after="100" w:afterAutospacing="1" w:line="240" w:lineRule="auto"/>
        <w:outlineLvl w:val="2"/>
        <w:rPr>
          <w:rFonts w:ascii="Arial" w:eastAsia="Times New Roman" w:hAnsi="Arial" w:cs="Arial"/>
          <w:color w:val="787C99"/>
          <w:kern w:val="0"/>
          <w:sz w:val="27"/>
          <w:szCs w:val="27"/>
          <w:lang w:eastAsia="en-GB"/>
          <w14:ligatures w14:val="none"/>
        </w:rPr>
      </w:pPr>
      <w:r w:rsidRPr="000715C8">
        <w:rPr>
          <w:rFonts w:ascii="Arial" w:eastAsia="Times New Roman" w:hAnsi="Arial" w:cs="Arial"/>
          <w:color w:val="787C99"/>
          <w:kern w:val="0"/>
          <w:sz w:val="27"/>
          <w:szCs w:val="27"/>
          <w:lang w:eastAsia="en-GB"/>
          <w14:ligatures w14:val="none"/>
        </w:rPr>
        <w:t>3.2. Joint Entity and Relationship Extraction (TIJERE)</w:t>
      </w:r>
    </w:p>
    <w:p w14:paraId="45AC3BDF"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color w:val="787C99"/>
          <w:kern w:val="0"/>
          <w:sz w:val="21"/>
          <w:szCs w:val="21"/>
          <w:lang w:eastAsia="en-GB"/>
          <w14:ligatures w14:val="none"/>
        </w:rPr>
        <w:t>A critical limitation of traditional pipelined information extraction is error propagation, where failures in Named Entity Recognition (NER) cascade to Relation Extraction (RE). To mitigate this, our framework incorporates </w:t>
      </w:r>
      <w:r w:rsidRPr="000715C8">
        <w:rPr>
          <w:rFonts w:ascii="Arial" w:eastAsia="Times New Roman" w:hAnsi="Arial" w:cs="Arial"/>
          <w:b/>
          <w:bCs/>
          <w:color w:val="787C99"/>
          <w:kern w:val="0"/>
          <w:sz w:val="21"/>
          <w:szCs w:val="21"/>
          <w:lang w:eastAsia="en-GB"/>
          <w14:ligatures w14:val="none"/>
        </w:rPr>
        <w:t>TIRE (Text Invariant Relation Extraction)</w:t>
      </w:r>
      <w:r w:rsidRPr="000715C8">
        <w:rPr>
          <w:rFonts w:ascii="Arial" w:eastAsia="Times New Roman" w:hAnsi="Arial" w:cs="Arial"/>
          <w:color w:val="787C99"/>
          <w:kern w:val="0"/>
          <w:sz w:val="21"/>
          <w:szCs w:val="21"/>
          <w:lang w:eastAsia="en-GB"/>
          <w14:ligatures w14:val="none"/>
        </w:rPr>
        <w:t>, a BERT-based joint extraction model.</w:t>
      </w:r>
    </w:p>
    <w:p w14:paraId="7B81BE7D" w14:textId="77777777" w:rsidR="000715C8" w:rsidRPr="000715C8" w:rsidRDefault="000715C8" w:rsidP="000715C8">
      <w:pPr>
        <w:spacing w:after="0" w:line="240" w:lineRule="auto"/>
        <w:rPr>
          <w:rFonts w:ascii="Times New Roman" w:eastAsia="Times New Roman" w:hAnsi="Times New Roman" w:cs="Times New Roman"/>
          <w:kern w:val="0"/>
          <w:lang w:eastAsia="en-GB"/>
          <w14:ligatures w14:val="none"/>
        </w:rPr>
      </w:pPr>
      <w:r w:rsidRPr="000715C8">
        <w:rPr>
          <w:rFonts w:ascii="Arial" w:eastAsia="Times New Roman" w:hAnsi="Arial" w:cs="Arial"/>
          <w:color w:val="787C99"/>
          <w:kern w:val="0"/>
          <w:sz w:val="21"/>
          <w:szCs w:val="21"/>
          <w:lang w:eastAsia="en-GB"/>
          <w14:ligatures w14:val="none"/>
        </w:rPr>
        <w:t>The TIRE model processes sentence-level inputs to simultaneously predict entities and their semantic relationships. It employs a pre-trained BERT encoder followed by a Conditional Random Field (CRF) layer for sequence tagging. For relationship classification, the model utilizes a specialized pooling mechanism that concatenates the embeddings of candidate entity pairs with their type embeddings. This joint architecture allows the model to leverage relational context to improve entity recognition accuracy, capturing complex dependencies such as </w:t>
      </w:r>
    </w:p>
    <w:p w14:paraId="3B75B181" w14:textId="77777777" w:rsidR="000715C8" w:rsidRPr="000715C8" w:rsidRDefault="000715C8" w:rsidP="000715C8">
      <w:pPr>
        <w:spacing w:after="0" w:line="240" w:lineRule="auto"/>
        <w:rPr>
          <w:rFonts w:ascii="Times New Roman" w:eastAsia="Times New Roman" w:hAnsi="Times New Roman" w:cs="Times New Roman"/>
          <w:kern w:val="0"/>
          <w:lang w:eastAsia="en-GB"/>
          <w14:ligatures w14:val="none"/>
        </w:rPr>
      </w:pPr>
      <w:r w:rsidRPr="000715C8">
        <w:rPr>
          <w:rFonts w:ascii="Times New Roman" w:eastAsia="Times New Roman" w:hAnsi="Times New Roman" w:cs="Times New Roman"/>
          <w:kern w:val="0"/>
          <w:lang w:eastAsia="en-GB"/>
          <w14:ligatures w14:val="none"/>
        </w:rPr>
        <w:t>(Threat Actor) --[uses]--&gt; (Malware).</w:t>
      </w:r>
    </w:p>
    <w:p w14:paraId="2D277183" w14:textId="77777777" w:rsidR="000715C8" w:rsidRPr="000715C8" w:rsidRDefault="000715C8" w:rsidP="000715C8">
      <w:pPr>
        <w:spacing w:before="100" w:beforeAutospacing="1" w:after="100" w:afterAutospacing="1" w:line="240" w:lineRule="auto"/>
        <w:outlineLvl w:val="2"/>
        <w:rPr>
          <w:rFonts w:ascii="Arial" w:eastAsia="Times New Roman" w:hAnsi="Arial" w:cs="Arial"/>
          <w:color w:val="787C99"/>
          <w:kern w:val="0"/>
          <w:sz w:val="27"/>
          <w:szCs w:val="27"/>
          <w:lang w:eastAsia="en-GB"/>
          <w14:ligatures w14:val="none"/>
        </w:rPr>
      </w:pPr>
      <w:r w:rsidRPr="000715C8">
        <w:rPr>
          <w:rFonts w:ascii="Arial" w:eastAsia="Times New Roman" w:hAnsi="Arial" w:cs="Arial"/>
          <w:color w:val="787C99"/>
          <w:kern w:val="0"/>
          <w:sz w:val="27"/>
          <w:szCs w:val="27"/>
          <w:lang w:eastAsia="en-GB"/>
          <w14:ligatures w14:val="none"/>
        </w:rPr>
        <w:t>3.3. Data Fusion and Semantic Validation</w:t>
      </w:r>
    </w:p>
    <w:p w14:paraId="5D3A8BA6"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color w:val="787C99"/>
          <w:kern w:val="0"/>
          <w:sz w:val="21"/>
          <w:szCs w:val="21"/>
          <w:lang w:eastAsia="en-GB"/>
          <w14:ligatures w14:val="none"/>
        </w:rPr>
        <w:t>The outputs from the heterogeneous extraction modules are synthesized in a Data Fusion layer. A rule-based merging algorithm consolidates entities, resolving conflicts through a priority-based schema that favors KB-verified entities while retaining high-confidence novel candidates.</w:t>
      </w:r>
    </w:p>
    <w:p w14:paraId="2A0C5013"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color w:val="787C99"/>
          <w:kern w:val="0"/>
          <w:sz w:val="21"/>
          <w:szCs w:val="21"/>
          <w:lang w:eastAsia="en-GB"/>
          <w14:ligatures w14:val="none"/>
        </w:rPr>
        <w:t>To ensure the semantic integrity of the final output, we introduce a </w:t>
      </w:r>
      <w:r w:rsidRPr="000715C8">
        <w:rPr>
          <w:rFonts w:ascii="Arial" w:eastAsia="Times New Roman" w:hAnsi="Arial" w:cs="Arial"/>
          <w:b/>
          <w:bCs/>
          <w:color w:val="787C99"/>
          <w:kern w:val="0"/>
          <w:sz w:val="21"/>
          <w:szCs w:val="21"/>
          <w:lang w:eastAsia="en-GB"/>
          <w14:ligatures w14:val="none"/>
        </w:rPr>
        <w:t>Large Language Model (LLM) Validation</w:t>
      </w:r>
      <w:r w:rsidRPr="000715C8">
        <w:rPr>
          <w:rFonts w:ascii="Arial" w:eastAsia="Times New Roman" w:hAnsi="Arial" w:cs="Arial"/>
          <w:color w:val="787C99"/>
          <w:kern w:val="0"/>
          <w:sz w:val="21"/>
          <w:szCs w:val="21"/>
          <w:lang w:eastAsia="en-GB"/>
          <w14:ligatures w14:val="none"/>
        </w:rPr>
        <w:t xml:space="preserve"> stage. Utilizing the Gemini 1.5 Flash architecture, this component functions as </w:t>
      </w:r>
      <w:r w:rsidRPr="000715C8">
        <w:rPr>
          <w:rFonts w:ascii="Arial" w:eastAsia="Times New Roman" w:hAnsi="Arial" w:cs="Arial"/>
          <w:color w:val="787C99"/>
          <w:kern w:val="0"/>
          <w:sz w:val="21"/>
          <w:szCs w:val="21"/>
          <w:lang w:eastAsia="en-GB"/>
          <w14:ligatures w14:val="none"/>
        </w:rPr>
        <w:lastRenderedPageBreak/>
        <w:t>a verifier rather than a primary extractor. The fused graph and the original source text are provided to the LLM with a strict prompt to:</w:t>
      </w:r>
    </w:p>
    <w:p w14:paraId="3568AA8A" w14:textId="77777777" w:rsidR="000715C8" w:rsidRPr="000715C8" w:rsidRDefault="000715C8" w:rsidP="000715C8">
      <w:pPr>
        <w:numPr>
          <w:ilvl w:val="0"/>
          <w:numId w:val="21"/>
        </w:numPr>
        <w:spacing w:before="100" w:beforeAutospacing="1" w:after="100" w:afterAutospacing="1"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b/>
          <w:bCs/>
          <w:color w:val="787C99"/>
          <w:kern w:val="0"/>
          <w:sz w:val="21"/>
          <w:szCs w:val="21"/>
          <w:lang w:eastAsia="en-GB"/>
          <w14:ligatures w14:val="none"/>
        </w:rPr>
        <w:t>Verify Existence</w:t>
      </w:r>
      <w:r w:rsidRPr="000715C8">
        <w:rPr>
          <w:rFonts w:ascii="Arial" w:eastAsia="Times New Roman" w:hAnsi="Arial" w:cs="Arial"/>
          <w:color w:val="787C99"/>
          <w:kern w:val="0"/>
          <w:sz w:val="21"/>
          <w:szCs w:val="21"/>
          <w:lang w:eastAsia="en-GB"/>
          <w14:ligatures w14:val="none"/>
        </w:rPr>
        <w:t>: Confirm that extracted relationships are explicitly supported by the text, thereby reducing hallucination.</w:t>
      </w:r>
    </w:p>
    <w:p w14:paraId="0B634E79" w14:textId="77777777" w:rsidR="000715C8" w:rsidRPr="000715C8" w:rsidRDefault="000715C8" w:rsidP="000715C8">
      <w:pPr>
        <w:numPr>
          <w:ilvl w:val="0"/>
          <w:numId w:val="21"/>
        </w:numPr>
        <w:spacing w:before="100" w:beforeAutospacing="1" w:after="100" w:afterAutospacing="1"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b/>
          <w:bCs/>
          <w:color w:val="787C99"/>
          <w:kern w:val="0"/>
          <w:sz w:val="21"/>
          <w:szCs w:val="21"/>
          <w:lang w:eastAsia="en-GB"/>
          <w14:ligatures w14:val="none"/>
        </w:rPr>
        <w:t>Type Correction</w:t>
      </w:r>
      <w:r w:rsidRPr="000715C8">
        <w:rPr>
          <w:rFonts w:ascii="Arial" w:eastAsia="Times New Roman" w:hAnsi="Arial" w:cs="Arial"/>
          <w:color w:val="787C99"/>
          <w:kern w:val="0"/>
          <w:sz w:val="21"/>
          <w:szCs w:val="21"/>
          <w:lang w:eastAsia="en-GB"/>
          <w14:ligatures w14:val="none"/>
        </w:rPr>
        <w:t>: Validate that entity types conform to the STIX 2.1 standard (e.g., correcting a "Tool" misclassified as "Malware").</w:t>
      </w:r>
    </w:p>
    <w:p w14:paraId="7BC61F5E" w14:textId="77777777" w:rsidR="000715C8" w:rsidRPr="000715C8" w:rsidRDefault="000715C8" w:rsidP="000715C8">
      <w:pPr>
        <w:numPr>
          <w:ilvl w:val="0"/>
          <w:numId w:val="21"/>
        </w:numPr>
        <w:spacing w:before="100" w:beforeAutospacing="1" w:after="100" w:afterAutospacing="1"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b/>
          <w:bCs/>
          <w:color w:val="787C99"/>
          <w:kern w:val="0"/>
          <w:sz w:val="21"/>
          <w:szCs w:val="21"/>
          <w:lang w:eastAsia="en-GB"/>
          <w14:ligatures w14:val="none"/>
        </w:rPr>
        <w:t>STIX Generation</w:t>
      </w:r>
      <w:r w:rsidRPr="000715C8">
        <w:rPr>
          <w:rFonts w:ascii="Arial" w:eastAsia="Times New Roman" w:hAnsi="Arial" w:cs="Arial"/>
          <w:color w:val="787C99"/>
          <w:kern w:val="0"/>
          <w:sz w:val="21"/>
          <w:szCs w:val="21"/>
          <w:lang w:eastAsia="en-GB"/>
          <w14:ligatures w14:val="none"/>
        </w:rPr>
        <w:t>: Serialize the validated graph into a compliant STIX 2.1 JSON bundle, ensuring correct SDO (Domain Object) and SRO (Relationship Object) structuring.</w:t>
      </w:r>
    </w:p>
    <w:p w14:paraId="7AAE47D0"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color w:val="787C99"/>
          <w:kern w:val="0"/>
          <w:sz w:val="21"/>
          <w:szCs w:val="21"/>
          <w:lang w:eastAsia="en-GB"/>
          <w14:ligatures w14:val="none"/>
        </w:rPr>
        <w:t>This "Extract-then-Validate" paradigm combines the interpretability and control of symbolic extraction with the semantic reasoning capabilities of large language models.</w:t>
      </w:r>
    </w:p>
    <w:p w14:paraId="0B0601B5" w14:textId="77777777" w:rsidR="000715C8" w:rsidRPr="000715C8" w:rsidRDefault="000715C8" w:rsidP="000715C8">
      <w:pPr>
        <w:spacing w:before="100" w:beforeAutospacing="1" w:after="100" w:afterAutospacing="1" w:line="240" w:lineRule="auto"/>
        <w:outlineLvl w:val="1"/>
        <w:rPr>
          <w:rFonts w:ascii="Arial" w:eastAsia="Times New Roman" w:hAnsi="Arial" w:cs="Arial"/>
          <w:b/>
          <w:bCs/>
          <w:color w:val="787C99"/>
          <w:kern w:val="0"/>
          <w:sz w:val="36"/>
          <w:szCs w:val="36"/>
          <w:lang w:eastAsia="en-GB"/>
          <w14:ligatures w14:val="none"/>
        </w:rPr>
      </w:pPr>
      <w:r w:rsidRPr="000715C8">
        <w:rPr>
          <w:rFonts w:ascii="Arial" w:eastAsia="Times New Roman" w:hAnsi="Arial" w:cs="Arial"/>
          <w:b/>
          <w:bCs/>
          <w:color w:val="787C99"/>
          <w:kern w:val="0"/>
          <w:sz w:val="36"/>
          <w:szCs w:val="36"/>
          <w:lang w:eastAsia="en-GB"/>
          <w14:ligatures w14:val="none"/>
        </w:rPr>
        <w:t>4. Methodology</w:t>
      </w:r>
    </w:p>
    <w:p w14:paraId="007C3C13" w14:textId="77777777" w:rsidR="000715C8" w:rsidRPr="000715C8" w:rsidRDefault="000715C8" w:rsidP="000715C8">
      <w:pPr>
        <w:spacing w:before="100" w:beforeAutospacing="1" w:after="100" w:afterAutospacing="1" w:line="240" w:lineRule="auto"/>
        <w:outlineLvl w:val="2"/>
        <w:rPr>
          <w:rFonts w:ascii="Arial" w:eastAsia="Times New Roman" w:hAnsi="Arial" w:cs="Arial"/>
          <w:color w:val="787C99"/>
          <w:kern w:val="0"/>
          <w:sz w:val="27"/>
          <w:szCs w:val="27"/>
          <w:lang w:eastAsia="en-GB"/>
          <w14:ligatures w14:val="none"/>
        </w:rPr>
      </w:pPr>
      <w:r w:rsidRPr="000715C8">
        <w:rPr>
          <w:rFonts w:ascii="Arial" w:eastAsia="Times New Roman" w:hAnsi="Arial" w:cs="Arial"/>
          <w:color w:val="787C99"/>
          <w:kern w:val="0"/>
          <w:sz w:val="27"/>
          <w:szCs w:val="27"/>
          <w:lang w:eastAsia="en-GB"/>
          <w14:ligatures w14:val="none"/>
        </w:rPr>
        <w:t>4.1. TIRE Model Implementation</w:t>
      </w:r>
    </w:p>
    <w:p w14:paraId="391944AC"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color w:val="787C99"/>
          <w:kern w:val="0"/>
          <w:sz w:val="21"/>
          <w:szCs w:val="21"/>
          <w:lang w:eastAsia="en-GB"/>
          <w14:ligatures w14:val="none"/>
        </w:rPr>
        <w:t>The core of our relationship extraction is the TIRE model. Given a sentence $S = {w_1, w_2, ..., w_n}$, the BERT encoder produces a sequence of hidden vectors $H = {h_1, h_2, ..., h_n}$. The NER component predicts a tag sequence $Y = {y_1, y_2, ..., y_n}$ using a CRF layer to model valid tag transitions (e.g., </w:t>
      </w:r>
      <w:r w:rsidRPr="000715C8">
        <w:rPr>
          <w:rFonts w:ascii="Courier New" w:eastAsia="Times New Roman" w:hAnsi="Courier New" w:cs="Courier New"/>
          <w:color w:val="9699A8"/>
          <w:kern w:val="0"/>
          <w:sz w:val="19"/>
          <w:szCs w:val="19"/>
          <w:lang w:eastAsia="en-GB"/>
          <w14:ligatures w14:val="none"/>
        </w:rPr>
        <w:t>I-Malware</w:t>
      </w:r>
      <w:r w:rsidRPr="000715C8">
        <w:rPr>
          <w:rFonts w:ascii="Arial" w:eastAsia="Times New Roman" w:hAnsi="Arial" w:cs="Arial"/>
          <w:color w:val="787C99"/>
          <w:kern w:val="0"/>
          <w:sz w:val="21"/>
          <w:szCs w:val="21"/>
          <w:lang w:eastAsia="en-GB"/>
          <w14:ligatures w14:val="none"/>
        </w:rPr>
        <w:t> cannot follow </w:t>
      </w:r>
      <w:r w:rsidRPr="000715C8">
        <w:rPr>
          <w:rFonts w:ascii="Courier New" w:eastAsia="Times New Roman" w:hAnsi="Courier New" w:cs="Courier New"/>
          <w:color w:val="9699A8"/>
          <w:kern w:val="0"/>
          <w:sz w:val="19"/>
          <w:szCs w:val="19"/>
          <w:lang w:eastAsia="en-GB"/>
          <w14:ligatures w14:val="none"/>
        </w:rPr>
        <w:t>B-Actor</w:t>
      </w:r>
      <w:r w:rsidRPr="000715C8">
        <w:rPr>
          <w:rFonts w:ascii="Arial" w:eastAsia="Times New Roman" w:hAnsi="Arial" w:cs="Arial"/>
          <w:color w:val="787C99"/>
          <w:kern w:val="0"/>
          <w:sz w:val="21"/>
          <w:szCs w:val="21"/>
          <w:lang w:eastAsia="en-GB"/>
          <w14:ligatures w14:val="none"/>
        </w:rPr>
        <w:t>).</w:t>
      </w:r>
    </w:p>
    <w:p w14:paraId="196C54ED"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color w:val="787C99"/>
          <w:kern w:val="0"/>
          <w:sz w:val="21"/>
          <w:szCs w:val="21"/>
          <w:lang w:eastAsia="en-GB"/>
          <w14:ligatures w14:val="none"/>
        </w:rPr>
        <w:t>For relation extraction, we construct a representation for each entity pair $(e_i, e_j)$. Let $h_{e_i}$ be the max-pooled vector of tokens belonging to entity $e_i$. We concatenate the entity vectors with their type embeddings $t_i, t_j$: $$v_{rel} = [h_{e_i}; t_i; h_{e_j}; t_j]$$ This vector $v_{rel}$ is passed through a fully connected layer to predict the relation class $r \in R \cup {\text{NoRelation}}$.</w:t>
      </w:r>
    </w:p>
    <w:p w14:paraId="6C02D040" w14:textId="77777777" w:rsidR="000715C8" w:rsidRPr="000715C8" w:rsidRDefault="000715C8" w:rsidP="000715C8">
      <w:pPr>
        <w:spacing w:before="100" w:beforeAutospacing="1" w:after="100" w:afterAutospacing="1" w:line="240" w:lineRule="auto"/>
        <w:outlineLvl w:val="2"/>
        <w:rPr>
          <w:rFonts w:ascii="Arial" w:eastAsia="Times New Roman" w:hAnsi="Arial" w:cs="Arial"/>
          <w:color w:val="787C99"/>
          <w:kern w:val="0"/>
          <w:sz w:val="27"/>
          <w:szCs w:val="27"/>
          <w:lang w:eastAsia="en-GB"/>
          <w14:ligatures w14:val="none"/>
        </w:rPr>
      </w:pPr>
      <w:r w:rsidRPr="000715C8">
        <w:rPr>
          <w:rFonts w:ascii="Arial" w:eastAsia="Times New Roman" w:hAnsi="Arial" w:cs="Arial"/>
          <w:color w:val="787C99"/>
          <w:kern w:val="0"/>
          <w:sz w:val="27"/>
          <w:szCs w:val="27"/>
          <w:lang w:eastAsia="en-GB"/>
          <w14:ligatures w14:val="none"/>
        </w:rPr>
        <w:t>4.2. Confidence Propagation for TTPs</w:t>
      </w:r>
    </w:p>
    <w:p w14:paraId="42FC2461"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color w:val="787C99"/>
          <w:kern w:val="0"/>
          <w:sz w:val="21"/>
          <w:szCs w:val="21"/>
          <w:lang w:eastAsia="en-GB"/>
          <w14:ligatures w14:val="none"/>
        </w:rPr>
        <w:t>For TTP extraction, we observe that Techniques imply Tactics. If a text segment is classified as </w:t>
      </w:r>
      <w:r w:rsidRPr="000715C8">
        <w:rPr>
          <w:rFonts w:ascii="Courier New" w:eastAsia="Times New Roman" w:hAnsi="Courier New" w:cs="Courier New"/>
          <w:color w:val="9699A8"/>
          <w:kern w:val="0"/>
          <w:sz w:val="19"/>
          <w:szCs w:val="19"/>
          <w:lang w:eastAsia="en-GB"/>
          <w14:ligatures w14:val="none"/>
        </w:rPr>
        <w:t>T1059 (Command and Scripting Interpreter)</w:t>
      </w:r>
      <w:r w:rsidRPr="000715C8">
        <w:rPr>
          <w:rFonts w:ascii="Arial" w:eastAsia="Times New Roman" w:hAnsi="Arial" w:cs="Arial"/>
          <w:color w:val="787C99"/>
          <w:kern w:val="0"/>
          <w:sz w:val="21"/>
          <w:szCs w:val="21"/>
          <w:lang w:eastAsia="en-GB"/>
          <w14:ligatures w14:val="none"/>
        </w:rPr>
        <w:t>, it strongly implies the Tactic </w:t>
      </w:r>
      <w:r w:rsidRPr="000715C8">
        <w:rPr>
          <w:rFonts w:ascii="Courier New" w:eastAsia="Times New Roman" w:hAnsi="Courier New" w:cs="Courier New"/>
          <w:color w:val="9699A8"/>
          <w:kern w:val="0"/>
          <w:sz w:val="19"/>
          <w:szCs w:val="19"/>
          <w:lang w:eastAsia="en-GB"/>
          <w14:ligatures w14:val="none"/>
        </w:rPr>
        <w:t>Execution</w:t>
      </w:r>
      <w:r w:rsidRPr="000715C8">
        <w:rPr>
          <w:rFonts w:ascii="Arial" w:eastAsia="Times New Roman" w:hAnsi="Arial" w:cs="Arial"/>
          <w:color w:val="787C99"/>
          <w:kern w:val="0"/>
          <w:sz w:val="21"/>
          <w:szCs w:val="21"/>
          <w:lang w:eastAsia="en-GB"/>
          <w14:ligatures w14:val="none"/>
        </w:rPr>
        <w:t>. We formalize this using Confidence Propagation: $$P(Technique_j) \leftarrow P(Technique_j) + \lambda \sum_{k \in Tactics(j)} P(Tactic_k)$$ This boosts the score of techniques that are consistent with the predicted tactics, improving the robustness of the classification.</w:t>
      </w:r>
    </w:p>
    <w:p w14:paraId="5E0C8443" w14:textId="77777777" w:rsidR="000715C8" w:rsidRPr="000715C8" w:rsidRDefault="000715C8" w:rsidP="000715C8">
      <w:pPr>
        <w:spacing w:before="100" w:beforeAutospacing="1" w:after="100" w:afterAutospacing="1" w:line="240" w:lineRule="auto"/>
        <w:outlineLvl w:val="1"/>
        <w:rPr>
          <w:rFonts w:ascii="Arial" w:eastAsia="Times New Roman" w:hAnsi="Arial" w:cs="Arial"/>
          <w:b/>
          <w:bCs/>
          <w:color w:val="787C99"/>
          <w:kern w:val="0"/>
          <w:sz w:val="36"/>
          <w:szCs w:val="36"/>
          <w:lang w:eastAsia="en-GB"/>
          <w14:ligatures w14:val="none"/>
        </w:rPr>
      </w:pPr>
      <w:r w:rsidRPr="000715C8">
        <w:rPr>
          <w:rFonts w:ascii="Arial" w:eastAsia="Times New Roman" w:hAnsi="Arial" w:cs="Arial"/>
          <w:b/>
          <w:bCs/>
          <w:color w:val="787C99"/>
          <w:kern w:val="0"/>
          <w:sz w:val="36"/>
          <w:szCs w:val="36"/>
          <w:lang w:eastAsia="en-GB"/>
          <w14:ligatures w14:val="none"/>
        </w:rPr>
        <w:t>5. Implementation Details</w:t>
      </w:r>
    </w:p>
    <w:p w14:paraId="213AF52E"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color w:val="787C99"/>
          <w:kern w:val="0"/>
          <w:sz w:val="21"/>
          <w:szCs w:val="21"/>
          <w:lang w:eastAsia="en-GB"/>
          <w14:ligatures w14:val="none"/>
        </w:rPr>
        <w:t>The framework is implemented in Python 3.9. The TIRE model utilizes the </w:t>
      </w:r>
      <w:r w:rsidRPr="000715C8">
        <w:rPr>
          <w:rFonts w:ascii="Courier New" w:eastAsia="Times New Roman" w:hAnsi="Courier New" w:cs="Courier New"/>
          <w:color w:val="9699A8"/>
          <w:kern w:val="0"/>
          <w:sz w:val="19"/>
          <w:szCs w:val="19"/>
          <w:lang w:eastAsia="en-GB"/>
          <w14:ligatures w14:val="none"/>
        </w:rPr>
        <w:t>transformers</w:t>
      </w:r>
      <w:r w:rsidRPr="000715C8">
        <w:rPr>
          <w:rFonts w:ascii="Arial" w:eastAsia="Times New Roman" w:hAnsi="Arial" w:cs="Arial"/>
          <w:color w:val="787C99"/>
          <w:kern w:val="0"/>
          <w:sz w:val="21"/>
          <w:szCs w:val="21"/>
          <w:lang w:eastAsia="en-GB"/>
          <w14:ligatures w14:val="none"/>
        </w:rPr>
        <w:t> library with a </w:t>
      </w:r>
      <w:r w:rsidRPr="000715C8">
        <w:rPr>
          <w:rFonts w:ascii="Courier New" w:eastAsia="Times New Roman" w:hAnsi="Courier New" w:cs="Courier New"/>
          <w:color w:val="9699A8"/>
          <w:kern w:val="0"/>
          <w:sz w:val="19"/>
          <w:szCs w:val="19"/>
          <w:lang w:eastAsia="en-GB"/>
          <w14:ligatures w14:val="none"/>
        </w:rPr>
        <w:t>bert-base-cased</w:t>
      </w:r>
      <w:r w:rsidRPr="000715C8">
        <w:rPr>
          <w:rFonts w:ascii="Arial" w:eastAsia="Times New Roman" w:hAnsi="Arial" w:cs="Arial"/>
          <w:color w:val="787C99"/>
          <w:kern w:val="0"/>
          <w:sz w:val="21"/>
          <w:szCs w:val="21"/>
          <w:lang w:eastAsia="en-GB"/>
          <w14:ligatures w14:val="none"/>
        </w:rPr>
        <w:t> backbone. Entity extraction modules leverage </w:t>
      </w:r>
      <w:r w:rsidRPr="000715C8">
        <w:rPr>
          <w:rFonts w:ascii="Courier New" w:eastAsia="Times New Roman" w:hAnsi="Courier New" w:cs="Courier New"/>
          <w:color w:val="9699A8"/>
          <w:kern w:val="0"/>
          <w:sz w:val="19"/>
          <w:szCs w:val="19"/>
          <w:lang w:eastAsia="en-GB"/>
          <w14:ligatures w14:val="none"/>
        </w:rPr>
        <w:t>spaCy</w:t>
      </w:r>
      <w:r w:rsidRPr="000715C8">
        <w:rPr>
          <w:rFonts w:ascii="Arial" w:eastAsia="Times New Roman" w:hAnsi="Arial" w:cs="Arial"/>
          <w:color w:val="787C99"/>
          <w:kern w:val="0"/>
          <w:sz w:val="21"/>
          <w:szCs w:val="21"/>
          <w:lang w:eastAsia="en-GB"/>
          <w14:ligatures w14:val="none"/>
        </w:rPr>
        <w:t> for linguistic features and </w:t>
      </w:r>
      <w:r w:rsidRPr="000715C8">
        <w:rPr>
          <w:rFonts w:ascii="Courier New" w:eastAsia="Times New Roman" w:hAnsi="Courier New" w:cs="Courier New"/>
          <w:color w:val="9699A8"/>
          <w:kern w:val="0"/>
          <w:sz w:val="19"/>
          <w:szCs w:val="19"/>
          <w:lang w:eastAsia="en-GB"/>
          <w14:ligatures w14:val="none"/>
        </w:rPr>
        <w:t>scikit-learn</w:t>
      </w:r>
      <w:r w:rsidRPr="000715C8">
        <w:rPr>
          <w:rFonts w:ascii="Arial" w:eastAsia="Times New Roman" w:hAnsi="Arial" w:cs="Arial"/>
          <w:color w:val="787C99"/>
          <w:kern w:val="0"/>
          <w:sz w:val="21"/>
          <w:szCs w:val="21"/>
          <w:lang w:eastAsia="en-GB"/>
          <w14:ligatures w14:val="none"/>
        </w:rPr>
        <w:t> for TTP classification. The system exposes a RESTful API via </w:t>
      </w:r>
      <w:r w:rsidRPr="000715C8">
        <w:rPr>
          <w:rFonts w:ascii="Courier New" w:eastAsia="Times New Roman" w:hAnsi="Courier New" w:cs="Courier New"/>
          <w:color w:val="9699A8"/>
          <w:kern w:val="0"/>
          <w:sz w:val="19"/>
          <w:szCs w:val="19"/>
          <w:lang w:eastAsia="en-GB"/>
          <w14:ligatures w14:val="none"/>
        </w:rPr>
        <w:t>Streamlit</w:t>
      </w:r>
      <w:r w:rsidRPr="000715C8">
        <w:rPr>
          <w:rFonts w:ascii="Arial" w:eastAsia="Times New Roman" w:hAnsi="Arial" w:cs="Arial"/>
          <w:color w:val="787C99"/>
          <w:kern w:val="0"/>
          <w:sz w:val="21"/>
          <w:szCs w:val="21"/>
          <w:lang w:eastAsia="en-GB"/>
          <w14:ligatures w14:val="none"/>
        </w:rPr>
        <w:t> for interactive analysis and visualization.</w:t>
      </w:r>
    </w:p>
    <w:p w14:paraId="6DDC9C55" w14:textId="77777777" w:rsidR="000715C8" w:rsidRPr="000715C8" w:rsidRDefault="000715C8" w:rsidP="000715C8">
      <w:pPr>
        <w:spacing w:before="100" w:beforeAutospacing="1" w:after="100" w:afterAutospacing="1" w:line="240" w:lineRule="auto"/>
        <w:outlineLvl w:val="1"/>
        <w:rPr>
          <w:rFonts w:ascii="Arial" w:eastAsia="Times New Roman" w:hAnsi="Arial" w:cs="Arial"/>
          <w:b/>
          <w:bCs/>
          <w:color w:val="787C99"/>
          <w:kern w:val="0"/>
          <w:sz w:val="36"/>
          <w:szCs w:val="36"/>
          <w:lang w:eastAsia="en-GB"/>
          <w14:ligatures w14:val="none"/>
        </w:rPr>
      </w:pPr>
      <w:r w:rsidRPr="000715C8">
        <w:rPr>
          <w:rFonts w:ascii="Arial" w:eastAsia="Times New Roman" w:hAnsi="Arial" w:cs="Arial"/>
          <w:b/>
          <w:bCs/>
          <w:color w:val="787C99"/>
          <w:kern w:val="0"/>
          <w:sz w:val="36"/>
          <w:szCs w:val="36"/>
          <w:lang w:eastAsia="en-GB"/>
          <w14:ligatures w14:val="none"/>
        </w:rPr>
        <w:t>6. Conclusion</w:t>
      </w:r>
    </w:p>
    <w:p w14:paraId="436652AE"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color w:val="787C99"/>
          <w:kern w:val="0"/>
          <w:sz w:val="21"/>
          <w:szCs w:val="21"/>
          <w:lang w:eastAsia="en-GB"/>
          <w14:ligatures w14:val="none"/>
        </w:rPr>
        <w:t>We have presented a comprehensive framework for automating the generation of STIX 2.1 graphs from unstructured CTI reports. By hybridizing rule-based precision with deep learning-based recall and LLM-based validation, our system addresses the key challenges of error propagation and semantic inconsistency. Future work will focus on expanding the Knowledge Base to include industrial control systems (ICS) and integrating feedback loops from security analysts to fine-tune the validation model.</w:t>
      </w:r>
    </w:p>
    <w:p w14:paraId="477EA2F8" w14:textId="77777777" w:rsidR="000715C8" w:rsidRPr="000715C8" w:rsidRDefault="000715C8" w:rsidP="000715C8">
      <w:pPr>
        <w:spacing w:before="100" w:beforeAutospacing="1" w:after="100" w:afterAutospacing="1" w:line="240" w:lineRule="auto"/>
        <w:outlineLvl w:val="1"/>
        <w:rPr>
          <w:rFonts w:ascii="Arial" w:eastAsia="Times New Roman" w:hAnsi="Arial" w:cs="Arial"/>
          <w:b/>
          <w:bCs/>
          <w:color w:val="787C99"/>
          <w:kern w:val="0"/>
          <w:sz w:val="36"/>
          <w:szCs w:val="36"/>
          <w:lang w:eastAsia="en-GB"/>
          <w14:ligatures w14:val="none"/>
        </w:rPr>
      </w:pPr>
      <w:r w:rsidRPr="000715C8">
        <w:rPr>
          <w:rFonts w:ascii="Arial" w:eastAsia="Times New Roman" w:hAnsi="Arial" w:cs="Arial"/>
          <w:b/>
          <w:bCs/>
          <w:color w:val="787C99"/>
          <w:kern w:val="0"/>
          <w:sz w:val="36"/>
          <w:szCs w:val="36"/>
          <w:lang w:eastAsia="en-GB"/>
          <w14:ligatures w14:val="none"/>
        </w:rPr>
        <w:t>References</w:t>
      </w:r>
    </w:p>
    <w:p w14:paraId="603EE20D" w14:textId="77777777" w:rsidR="000715C8" w:rsidRPr="000715C8" w:rsidRDefault="000715C8" w:rsidP="000715C8">
      <w:pPr>
        <w:spacing w:after="0" w:line="240" w:lineRule="auto"/>
        <w:rPr>
          <w:rFonts w:ascii="Arial" w:eastAsia="Times New Roman" w:hAnsi="Arial" w:cs="Arial"/>
          <w:color w:val="787C99"/>
          <w:kern w:val="0"/>
          <w:sz w:val="21"/>
          <w:szCs w:val="21"/>
          <w:lang w:eastAsia="en-GB"/>
          <w14:ligatures w14:val="none"/>
        </w:rPr>
      </w:pPr>
      <w:r w:rsidRPr="000715C8">
        <w:rPr>
          <w:rFonts w:ascii="Arial" w:eastAsia="Times New Roman" w:hAnsi="Arial" w:cs="Arial"/>
          <w:color w:val="787C99"/>
          <w:kern w:val="0"/>
          <w:sz w:val="21"/>
          <w:szCs w:val="21"/>
          <w:lang w:eastAsia="en-GB"/>
          <w14:ligatures w14:val="none"/>
        </w:rPr>
        <w:lastRenderedPageBreak/>
        <w:t>[1] Barnum, S. (2012). Standardizing cyber threat intelligence information with the Structured Threat Information eXpression (STIX). MITRE Corporation. [2] Devlin, J., et al. (2019). BERT: Pre-training of Deep Bidirectional Transformers for Language Understanding. NAACL. [3] MITRE Corporation. (2023). MITRE ATT&amp;CK®: Design and Philosophy.</w:t>
      </w:r>
    </w:p>
    <w:p w14:paraId="52C5CEB8" w14:textId="77777777" w:rsidR="00A45730" w:rsidRPr="000715C8" w:rsidRDefault="00A45730" w:rsidP="000715C8"/>
    <w:sectPr w:rsidR="00A45730" w:rsidRPr="000715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058AB"/>
    <w:multiLevelType w:val="multilevel"/>
    <w:tmpl w:val="D5F8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16AB3"/>
    <w:multiLevelType w:val="multilevel"/>
    <w:tmpl w:val="2C2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11EAA"/>
    <w:multiLevelType w:val="multilevel"/>
    <w:tmpl w:val="39C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36FE5"/>
    <w:multiLevelType w:val="multilevel"/>
    <w:tmpl w:val="E3DC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366AF"/>
    <w:multiLevelType w:val="multilevel"/>
    <w:tmpl w:val="379A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597272"/>
    <w:multiLevelType w:val="multilevel"/>
    <w:tmpl w:val="7CB4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50845"/>
    <w:multiLevelType w:val="multilevel"/>
    <w:tmpl w:val="FC84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D0CF7"/>
    <w:multiLevelType w:val="multilevel"/>
    <w:tmpl w:val="3E2A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45566F"/>
    <w:multiLevelType w:val="multilevel"/>
    <w:tmpl w:val="559A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30993"/>
    <w:multiLevelType w:val="multilevel"/>
    <w:tmpl w:val="1604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726ED"/>
    <w:multiLevelType w:val="multilevel"/>
    <w:tmpl w:val="1C16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7198C"/>
    <w:multiLevelType w:val="multilevel"/>
    <w:tmpl w:val="AA68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C2C18"/>
    <w:multiLevelType w:val="multilevel"/>
    <w:tmpl w:val="8940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7561D8"/>
    <w:multiLevelType w:val="multilevel"/>
    <w:tmpl w:val="E516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F01DD"/>
    <w:multiLevelType w:val="multilevel"/>
    <w:tmpl w:val="4ED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E12C90"/>
    <w:multiLevelType w:val="multilevel"/>
    <w:tmpl w:val="7BD4E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60C23"/>
    <w:multiLevelType w:val="multilevel"/>
    <w:tmpl w:val="8324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263973"/>
    <w:multiLevelType w:val="multilevel"/>
    <w:tmpl w:val="7DA47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00CEE"/>
    <w:multiLevelType w:val="multilevel"/>
    <w:tmpl w:val="6886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15203C"/>
    <w:multiLevelType w:val="multilevel"/>
    <w:tmpl w:val="B348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2D607F"/>
    <w:multiLevelType w:val="multilevel"/>
    <w:tmpl w:val="5FD87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826968">
    <w:abstractNumId w:val="10"/>
  </w:num>
  <w:num w:numId="2" w16cid:durableId="1440181537">
    <w:abstractNumId w:val="19"/>
  </w:num>
  <w:num w:numId="3" w16cid:durableId="1839735475">
    <w:abstractNumId w:val="16"/>
  </w:num>
  <w:num w:numId="4" w16cid:durableId="562176456">
    <w:abstractNumId w:val="18"/>
  </w:num>
  <w:num w:numId="5" w16cid:durableId="1950622976">
    <w:abstractNumId w:val="2"/>
  </w:num>
  <w:num w:numId="6" w16cid:durableId="1902130461">
    <w:abstractNumId w:val="4"/>
  </w:num>
  <w:num w:numId="7" w16cid:durableId="744884317">
    <w:abstractNumId w:val="13"/>
  </w:num>
  <w:num w:numId="8" w16cid:durableId="1848011226">
    <w:abstractNumId w:val="0"/>
  </w:num>
  <w:num w:numId="9" w16cid:durableId="2088110896">
    <w:abstractNumId w:val="1"/>
  </w:num>
  <w:num w:numId="10" w16cid:durableId="1864124505">
    <w:abstractNumId w:val="15"/>
  </w:num>
  <w:num w:numId="11" w16cid:durableId="291134768">
    <w:abstractNumId w:val="8"/>
  </w:num>
  <w:num w:numId="12" w16cid:durableId="1672487009">
    <w:abstractNumId w:val="12"/>
  </w:num>
  <w:num w:numId="13" w16cid:durableId="1038310449">
    <w:abstractNumId w:val="17"/>
  </w:num>
  <w:num w:numId="14" w16cid:durableId="1283615695">
    <w:abstractNumId w:val="6"/>
  </w:num>
  <w:num w:numId="15" w16cid:durableId="742489421">
    <w:abstractNumId w:val="5"/>
  </w:num>
  <w:num w:numId="16" w16cid:durableId="788471653">
    <w:abstractNumId w:val="11"/>
  </w:num>
  <w:num w:numId="17" w16cid:durableId="2004969457">
    <w:abstractNumId w:val="3"/>
  </w:num>
  <w:num w:numId="18" w16cid:durableId="1547135074">
    <w:abstractNumId w:val="9"/>
  </w:num>
  <w:num w:numId="19" w16cid:durableId="406735399">
    <w:abstractNumId w:val="7"/>
  </w:num>
  <w:num w:numId="20" w16cid:durableId="274363712">
    <w:abstractNumId w:val="20"/>
  </w:num>
  <w:num w:numId="21" w16cid:durableId="13822422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730"/>
    <w:rsid w:val="000715C8"/>
    <w:rsid w:val="00A45730"/>
    <w:rsid w:val="00C83A1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0375D"/>
  <w15:chartTrackingRefBased/>
  <w15:docId w15:val="{15CE7627-02AB-9C46-A925-51681D900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5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5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5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5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730"/>
    <w:rPr>
      <w:rFonts w:eastAsiaTheme="majorEastAsia" w:cstheme="majorBidi"/>
      <w:color w:val="272727" w:themeColor="text1" w:themeTint="D8"/>
    </w:rPr>
  </w:style>
  <w:style w:type="paragraph" w:styleId="Title">
    <w:name w:val="Title"/>
    <w:basedOn w:val="Normal"/>
    <w:next w:val="Normal"/>
    <w:link w:val="TitleChar"/>
    <w:uiPriority w:val="10"/>
    <w:qFormat/>
    <w:rsid w:val="00A45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730"/>
    <w:pPr>
      <w:spacing w:before="160"/>
      <w:jc w:val="center"/>
    </w:pPr>
    <w:rPr>
      <w:i/>
      <w:iCs/>
      <w:color w:val="404040" w:themeColor="text1" w:themeTint="BF"/>
    </w:rPr>
  </w:style>
  <w:style w:type="character" w:customStyle="1" w:styleId="QuoteChar">
    <w:name w:val="Quote Char"/>
    <w:basedOn w:val="DefaultParagraphFont"/>
    <w:link w:val="Quote"/>
    <w:uiPriority w:val="29"/>
    <w:rsid w:val="00A45730"/>
    <w:rPr>
      <w:i/>
      <w:iCs/>
      <w:color w:val="404040" w:themeColor="text1" w:themeTint="BF"/>
    </w:rPr>
  </w:style>
  <w:style w:type="paragraph" w:styleId="ListParagraph">
    <w:name w:val="List Paragraph"/>
    <w:basedOn w:val="Normal"/>
    <w:uiPriority w:val="34"/>
    <w:qFormat/>
    <w:rsid w:val="00A45730"/>
    <w:pPr>
      <w:ind w:left="720"/>
      <w:contextualSpacing/>
    </w:pPr>
  </w:style>
  <w:style w:type="character" w:styleId="IntenseEmphasis">
    <w:name w:val="Intense Emphasis"/>
    <w:basedOn w:val="DefaultParagraphFont"/>
    <w:uiPriority w:val="21"/>
    <w:qFormat/>
    <w:rsid w:val="00A45730"/>
    <w:rPr>
      <w:i/>
      <w:iCs/>
      <w:color w:val="0F4761" w:themeColor="accent1" w:themeShade="BF"/>
    </w:rPr>
  </w:style>
  <w:style w:type="paragraph" w:styleId="IntenseQuote">
    <w:name w:val="Intense Quote"/>
    <w:basedOn w:val="Normal"/>
    <w:next w:val="Normal"/>
    <w:link w:val="IntenseQuoteChar"/>
    <w:uiPriority w:val="30"/>
    <w:qFormat/>
    <w:rsid w:val="00A45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730"/>
    <w:rPr>
      <w:i/>
      <w:iCs/>
      <w:color w:val="0F4761" w:themeColor="accent1" w:themeShade="BF"/>
    </w:rPr>
  </w:style>
  <w:style w:type="character" w:styleId="IntenseReference">
    <w:name w:val="Intense Reference"/>
    <w:basedOn w:val="DefaultParagraphFont"/>
    <w:uiPriority w:val="32"/>
    <w:qFormat/>
    <w:rsid w:val="00A45730"/>
    <w:rPr>
      <w:b/>
      <w:bCs/>
      <w:smallCaps/>
      <w:color w:val="0F4761" w:themeColor="accent1" w:themeShade="BF"/>
      <w:spacing w:val="5"/>
    </w:rPr>
  </w:style>
  <w:style w:type="paragraph" w:styleId="NormalWeb">
    <w:name w:val="Normal (Web)"/>
    <w:basedOn w:val="Normal"/>
    <w:uiPriority w:val="99"/>
    <w:semiHidden/>
    <w:unhideWhenUsed/>
    <w:rsid w:val="00A4573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45730"/>
    <w:rPr>
      <w:b/>
      <w:bCs/>
    </w:rPr>
  </w:style>
  <w:style w:type="character" w:styleId="Emphasis">
    <w:name w:val="Emphasis"/>
    <w:basedOn w:val="DefaultParagraphFont"/>
    <w:uiPriority w:val="20"/>
    <w:qFormat/>
    <w:rsid w:val="00A45730"/>
    <w:rPr>
      <w:i/>
      <w:iCs/>
    </w:rPr>
  </w:style>
  <w:style w:type="paragraph" w:styleId="HTMLPreformatted">
    <w:name w:val="HTML Preformatted"/>
    <w:basedOn w:val="Normal"/>
    <w:link w:val="HTMLPreformattedChar"/>
    <w:uiPriority w:val="99"/>
    <w:semiHidden/>
    <w:unhideWhenUsed/>
    <w:rsid w:val="00A45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45730"/>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A45730"/>
    <w:rPr>
      <w:rFonts w:ascii="Courier New" w:eastAsia="Times New Roman" w:hAnsi="Courier New" w:cs="Courier New"/>
      <w:sz w:val="20"/>
      <w:szCs w:val="20"/>
    </w:rPr>
  </w:style>
  <w:style w:type="character" w:customStyle="1" w:styleId="hljs-variable">
    <w:name w:val="hljs-variable"/>
    <w:basedOn w:val="DefaultParagraphFont"/>
    <w:rsid w:val="00A45730"/>
  </w:style>
  <w:style w:type="character" w:customStyle="1" w:styleId="hljs-operator">
    <w:name w:val="hljs-operator"/>
    <w:basedOn w:val="DefaultParagraphFont"/>
    <w:rsid w:val="00A45730"/>
  </w:style>
  <w:style w:type="character" w:customStyle="1" w:styleId="hljs-number">
    <w:name w:val="hljs-number"/>
    <w:basedOn w:val="DefaultParagraphFont"/>
    <w:rsid w:val="00A45730"/>
  </w:style>
  <w:style w:type="character" w:customStyle="1" w:styleId="hljs-builtin">
    <w:name w:val="hljs-built_in"/>
    <w:basedOn w:val="DefaultParagraphFont"/>
    <w:rsid w:val="00A45730"/>
  </w:style>
  <w:style w:type="character" w:customStyle="1" w:styleId="inline-flex">
    <w:name w:val="inline-flex"/>
    <w:basedOn w:val="DefaultParagraphFont"/>
    <w:rsid w:val="000715C8"/>
  </w:style>
  <w:style w:type="character" w:customStyle="1" w:styleId="inline">
    <w:name w:val="inline"/>
    <w:basedOn w:val="DefaultParagraphFont"/>
    <w:rsid w:val="000715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1511</Words>
  <Characters>8613</Characters>
  <Application>Microsoft Office Word</Application>
  <DocSecurity>0</DocSecurity>
  <Lines>71</Lines>
  <Paragraphs>20</Paragraphs>
  <ScaleCrop>false</ScaleCrop>
  <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khan</dc:creator>
  <cp:keywords/>
  <dc:description/>
  <cp:lastModifiedBy>hamza khan</cp:lastModifiedBy>
  <cp:revision>2</cp:revision>
  <dcterms:created xsi:type="dcterms:W3CDTF">2025-12-14T13:39:00Z</dcterms:created>
  <dcterms:modified xsi:type="dcterms:W3CDTF">2025-12-14T13:44:00Z</dcterms:modified>
</cp:coreProperties>
</file>