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Here is the definitive, step-by-step technical execution roadmap to take the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Pakistan Poverty Lens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from concept to a production-grade deployment.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To avoid the common trap where remote sensing projects remain isolated academic proof-of-concepts, this path is built around the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CRISP-DM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lifecycle. It begins with a focused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Lahore Pilot MVP (at a 1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sq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km grid resolution)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 prove operational viability before scaling to provincial or national levels.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Environment &amp; Data Engineering (Weeks 1–3)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Build the automated ingestion pipeline to retrieve, clean, and tile satellite imagery and spatial boundaries.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Define Spatial Boundaries &amp; Grid Tiling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Import Lahore’s Union Council boundary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shapefiles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into Python using </w:t>
      </w:r>
      <w:proofErr w:type="spellStart"/>
      <w:r w:rsidRPr="00D26799">
        <w:rPr>
          <w:rFonts w:ascii="Courier New" w:eastAsia="Times New Roman" w:hAnsi="Courier New" w:cs="Courier New"/>
          <w:sz w:val="20"/>
          <w:szCs w:val="20"/>
        </w:rPr>
        <w:t>GeoPandas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6799">
        <w:rPr>
          <w:rFonts w:ascii="Courier New" w:eastAsia="Times New Roman" w:hAnsi="Courier New" w:cs="Courier New"/>
          <w:sz w:val="20"/>
          <w:szCs w:val="20"/>
        </w:rPr>
        <w:t>Shapely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Generate a standardized 1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km vector grid across the Lahore metropolitan area to serve as the foundational prediction unit.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Automate Earth Engine Scraping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Set up the Google Earth Engine (GEE) Python API to query cloud-free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Sentinel-2 (10m)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surface reflectance composites and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VIIRS Monthly Composites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for nighttime lights (NTL) mean radiance. 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Write preprocessing scripts using </w:t>
      </w:r>
      <w:r w:rsidRPr="00D26799">
        <w:rPr>
          <w:rFonts w:ascii="Courier New" w:eastAsia="Times New Roman" w:hAnsi="Courier New" w:cs="Courier New"/>
          <w:sz w:val="20"/>
          <w:szCs w:val="20"/>
        </w:rPr>
        <w:t>GDAL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26799">
        <w:rPr>
          <w:rFonts w:ascii="Courier New" w:eastAsia="Times New Roman" w:hAnsi="Courier New" w:cs="Courier New"/>
          <w:sz w:val="20"/>
          <w:szCs w:val="20"/>
        </w:rPr>
        <w:t>Patchify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 slice large satellite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GeoTIFFs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into 256x256 or 512x512 pixel image tiles aligned with your vector grid.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Extract Morphological &amp; Spectral Indicators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Compute local vegetation and built-up spectral indices (NDVI and NDBI) directly within your preprocessing pipeline. 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Pull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(OSM) spatial dumps for Lahore to calculate building footprint density and road network infrastructure gaps per grid cell.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Ground Truth &amp; Feature Engineering (Weeks 4–6)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Assemble physical asset labels and align them temporally with your satellite data to ensure maximum model precision.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Curate Physical Asset Targets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Acquire localized household wealth datasets from the Pakistan Bureau of Statistics (PBS), such as the Pakistan Social and Living Standards Measurement (PSLM) or asset indices. 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i/>
          <w:iCs/>
          <w:sz w:val="24"/>
          <w:szCs w:val="24"/>
        </w:rPr>
        <w:t>Rule of Thumb: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Ensure survey labels are within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of satellite image capture; literature proves temporal misalignment degrades model accuracy by 6% per year.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Build the Rooftop Solar Validation Mask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3 to 5 diverse Lahore sectors (e.g., high-density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Johar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Town vs. planned DHA estates).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Manually annotate bounding boxes or segmentation polygons around rooftop solar installations using high-resolution base imagery to create a strict validation set.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Train Feature Extraction Backbones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Utilize an NVIDIA RTX 4090 GPU (or cloud cluster) to train a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U-Net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DeepLabV3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segmentation network on your solar validation set until it reaches target precision. 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Pass daytime Sentinel-2 tiles through a pre-trained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ResNet-50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backbone (removing the final classification layer) to extract dense spatial feature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Hybrid Modeling &amp; Evaluation (Weeks 7–9)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Merge deep spatial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with tabular morphological data to train the ensemble prediction engine.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Construct the Hybrid Vector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Concatenate your ResNet-50 spatial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with your engineered tabular indicators: VIIRS NTL Mean Radiance ($r = 0.67$), NDBI ($r = 0.61$), Building Density ($r = 0.58$), and Road Density ($r = 0.54$).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Train the Ensemble Classifier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Feed the combined feature vector into a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regression model to predict the localized socioeconomic wealth index. 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i/>
          <w:iCs/>
          <w:sz w:val="24"/>
          <w:szCs w:val="24"/>
        </w:rPr>
        <w:t>Why Hybrid?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Empirical benchmarks confirm that combining CNN feature extraction with tree-based ensemble classifiers increases predictive accuracy by 8 to 15 percentage points over standalone networks.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Strict Spatial Cross-Validation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>Evaluate model performance using Intersection over Union (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) and Dice Coefficient for structural segmentation masks, and $R^2$ / RMSE for wealth index prediction. 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Test generalizability by validating the model on hold-out grid cells in distinct socioeconomic zones (e.g., informal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Katchi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Abadis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vs. planned commercial hubs).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4: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Containerization &amp; MSRI (Weeks 10–11)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Transition isolated scripts into modular, production-ready backend services. </w:t>
      </w:r>
    </w:p>
    <w:p w:rsidR="00D26799" w:rsidRPr="00D26799" w:rsidRDefault="00D26799" w:rsidP="00D2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Build Independent Docker Containers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solar-detection-</w:t>
      </w:r>
      <w:proofErr w:type="spellStart"/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Containerized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endpoint that accepts optical tiles and returns solar capacity estimation masks. 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B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morphological-metrics-</w:t>
      </w:r>
      <w:proofErr w:type="spellStart"/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Service that outputs built-up density and infrastructure routing gaps. 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Service C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poverty-lens-core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Container running the hybrid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model to generate the final spatial deprivation score. </w:t>
      </w:r>
    </w:p>
    <w:p w:rsidR="00D26799" w:rsidRPr="00D26799" w:rsidRDefault="00D26799" w:rsidP="00D2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Implement the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Reusability Index (MSRI)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Create a central registry database that catalogs each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microservice's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API schema, latency, versioning, and reusability metrics across cross-agency workflows.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National Infrastructure Deployment (Week 12+)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Connect analytical outputs directly into government decision-making pipelines.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562"/>
        <w:gridCol w:w="2701"/>
      </w:tblGrid>
      <w:tr w:rsidR="00D26799" w:rsidRPr="00D26799" w:rsidTr="00D267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 PDF+ 1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/ System Target PDF+ 1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GIS Dashboard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Export predicted grid layers as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GeoJSON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Cloud Optimized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GeoTIFFs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(COG) into an interactive web mapping frontend.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Local Urban Planners &amp; Development Authorities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PBS Data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 up automated API connectors to push real-time socioeconomic layer updates directly to national statistical administrators.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Pakistan Bureau of Statistics (PBS) 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Big Data Portal 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Align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 schemas with federal open-data standards to feed the national centralized repository.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National Big Data Portal / National Open Data Portal </w:t>
            </w:r>
          </w:p>
        </w:tc>
      </w:tr>
    </w:tbl>
    <w:p w:rsidR="00D26799" w:rsidRPr="00D26799" w:rsidRDefault="00D26799" w:rsidP="00D2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99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Success Safeguards</w:t>
      </w:r>
    </w:p>
    <w:p w:rsidR="00D26799" w:rsidRPr="00D26799" w:rsidRDefault="00D26799" w:rsidP="00D2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Avoid Overfitting: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Incorporate geospatial data augmentations (random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orthomosaic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rotation, synthetic haze, multi-scale cropping) during iterative retraining to prevent model degradation when transitioning from Lahore to rural districts. </w:t>
      </w:r>
    </w:p>
    <w:p w:rsidR="00D26799" w:rsidRPr="00D26799" w:rsidRDefault="00D26799" w:rsidP="00D2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Active Learning Loop: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Set up an automated flagging mechanism where low-confidence segmentation inferences are routed to human annotators, continuously feeding corrected weights back into your model pipeline.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D267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Prof. Ahsan Iqbal's Speech on PBS Data Integration</w:t>
        </w:r>
      </w:hyperlink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>This presentation outlines the government's official policy framework and vision for transforming the Pakistan Bureau of Statistics into a modernized data hub, illustrating exactly how national big data dashboards and open-data integration operate in practice.</w:t>
      </w:r>
    </w:p>
    <w:p w:rsidR="007B2ADA" w:rsidRDefault="007B2ADA">
      <w:bookmarkStart w:id="0" w:name="_GoBack"/>
      <w:bookmarkEnd w:id="0"/>
    </w:p>
    <w:sectPr w:rsidR="007B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5887"/>
    <w:multiLevelType w:val="multilevel"/>
    <w:tmpl w:val="DC3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23A6"/>
    <w:multiLevelType w:val="multilevel"/>
    <w:tmpl w:val="A48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47BE"/>
    <w:multiLevelType w:val="multilevel"/>
    <w:tmpl w:val="2CA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F31A8"/>
    <w:multiLevelType w:val="multilevel"/>
    <w:tmpl w:val="84D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35FF3"/>
    <w:multiLevelType w:val="multilevel"/>
    <w:tmpl w:val="86F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99"/>
    <w:rsid w:val="005110E7"/>
    <w:rsid w:val="007B2ADA"/>
    <w:rsid w:val="00D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3592E-2BEA-4428-A108-A3FA46A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6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6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7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67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679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26799"/>
  </w:style>
  <w:style w:type="character" w:styleId="Strong">
    <w:name w:val="Strong"/>
    <w:basedOn w:val="DefaultParagraphFont"/>
    <w:uiPriority w:val="22"/>
    <w:qFormat/>
    <w:rsid w:val="00D26799"/>
    <w:rPr>
      <w:b/>
      <w:bCs/>
    </w:rPr>
  </w:style>
  <w:style w:type="character" w:customStyle="1" w:styleId="citation-35">
    <w:name w:val="citation-35"/>
    <w:basedOn w:val="DefaultParagraphFont"/>
    <w:rsid w:val="00D26799"/>
  </w:style>
  <w:style w:type="character" w:styleId="Hyperlink">
    <w:name w:val="Hyperlink"/>
    <w:basedOn w:val="DefaultParagraphFont"/>
    <w:uiPriority w:val="99"/>
    <w:semiHidden/>
    <w:unhideWhenUsed/>
    <w:rsid w:val="00D26799"/>
    <w:rPr>
      <w:color w:val="0000FF"/>
      <w:u w:val="single"/>
    </w:rPr>
  </w:style>
  <w:style w:type="character" w:customStyle="1" w:styleId="citation-34">
    <w:name w:val="citation-34"/>
    <w:basedOn w:val="DefaultParagraphFont"/>
    <w:rsid w:val="00D26799"/>
  </w:style>
  <w:style w:type="character" w:customStyle="1" w:styleId="citation-33">
    <w:name w:val="citation-33"/>
    <w:basedOn w:val="DefaultParagraphFont"/>
    <w:rsid w:val="00D26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DvOU2Kzz6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</dc:creator>
  <cp:keywords/>
  <dc:description/>
  <cp:lastModifiedBy>Shahid</cp:lastModifiedBy>
  <cp:revision>2</cp:revision>
  <dcterms:created xsi:type="dcterms:W3CDTF">2026-07-06T11:30:00Z</dcterms:created>
  <dcterms:modified xsi:type="dcterms:W3CDTF">2026-07-06T11:30:00Z</dcterms:modified>
</cp:coreProperties>
</file>