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aiou_logo.jpg"/>
                    <pic:cNvPicPr/>
                  </pic:nvPicPr>
                  <pic:blipFill>
                    <a:blip r:embed="rId9"/>
                    <a:stretch>
                      <a:fillRect/>
                    </a:stretch>
                  </pic:blipFill>
                  <pic:spPr>
                    <a:xfrm>
                      <a:off x="0" y="0"/>
                      <a:ext cx="1645920" cy="1645920"/>
                    </a:xfrm>
                    <a:prstGeom prst="rect"/>
                  </pic:spPr>
                </pic:pic>
              </a:graphicData>
            </a:graphic>
          </wp:inline>
        </w:drawing>
      </w:r>
    </w:p>
    <w:p>
      <w:pPr>
        <w:spacing w:after="360"/>
        <w:jc w:val="center"/>
      </w:pPr>
      <w:r>
        <w:rPr>
          <w:rFonts w:ascii="Calibri" w:hAnsi="Calibri"/>
          <w:b/>
          <w:color w:val="003366"/>
          <w:sz w:val="44"/>
        </w:rPr>
        <w:t>Assignment # 01</w:t>
      </w:r>
    </w:p>
    <w:tbl>
      <w:tblPr>
        <w:tblStyle w:val="TableGrid"/>
        <w:tblW w:type="auto" w:w="0"/>
        <w:tblLayout w:type="fixed"/>
        <w:tblLook w:firstColumn="1" w:firstRow="1" w:lastColumn="0" w:lastRow="0" w:noHBand="0" w:noVBand="1" w:val="04A0"/>
        <w:jc w:val="center"/>
        <w:tblCellSpacing w:w="0" w:type="dxa"/>
      </w:tblPr>
      <w:tblGrid>
        <w:gridCol w:w="4680"/>
        <w:gridCol w:w="4680"/>
      </w:tblGrid>
      <w:tr>
        <w:tc>
          <w:tcPr>
            <w:tcW w:type="dxa" w:w="3168"/>
            <w:vAlign w:val="center"/>
            <w:tcMar>
              <w:top w:w="80" w:type="dxa"/>
              <w:bottom w:w="80" w:type="dxa"/>
              <w:left w:w="100" w:type="dxa"/>
              <w:right w:w="100" w:type="dxa"/>
            </w:tcMar>
            <w:shd w:fill="F4F6F9"/>
          </w:tcPr>
          <w:p>
            <w:pPr>
              <w:spacing w:after="80"/>
              <w:jc w:val="center"/>
            </w:pPr>
            <w:r>
              <w:rPr>
                <w:rFonts w:ascii="Calibri" w:hAnsi="Calibri"/>
                <w:b/>
                <w:sz w:val="22"/>
              </w:rPr>
              <w:t>Student Name:</w:t>
            </w:r>
          </w:p>
        </w:tc>
        <w:tc>
          <w:tcPr>
            <w:tcW w:type="dxa" w:w="6192"/>
            <w:vAlign w:val="center"/>
            <w:tcMar>
              <w:top w:w="80" w:type="dxa"/>
              <w:bottom w:w="80" w:type="dxa"/>
              <w:left w:w="100" w:type="dxa"/>
              <w:right w:w="100" w:type="dxa"/>
            </w:tcMar>
            <w:shd w:fill="F4F6F9"/>
          </w:tcPr>
          <w:p>
            <w:pPr>
              <w:spacing w:after="80"/>
              <w:jc w:val="center"/>
            </w:pPr>
            <w:r>
              <w:rPr>
                <w:rFonts w:ascii="Calibri" w:hAnsi="Calibri"/>
                <w:sz w:val="22"/>
              </w:rPr>
              <w:t>FARHAT NAZ</w:t>
            </w:r>
          </w:p>
        </w:tc>
      </w:tr>
      <w:tr>
        <w:tc>
          <w:tcPr>
            <w:tcW w:type="dxa" w:w="3168"/>
            <w:vAlign w:val="center"/>
            <w:tcMar>
              <w:top w:w="80" w:type="dxa"/>
              <w:bottom w:w="80" w:type="dxa"/>
              <w:left w:w="100" w:type="dxa"/>
              <w:right w:w="100" w:type="dxa"/>
            </w:tcMar>
            <w:shd w:fill="F4F6F9"/>
          </w:tcPr>
          <w:p>
            <w:pPr>
              <w:spacing w:after="80"/>
              <w:jc w:val="center"/>
            </w:pPr>
            <w:r>
              <w:rPr>
                <w:rFonts w:ascii="Calibri" w:hAnsi="Calibri"/>
                <w:b/>
                <w:sz w:val="22"/>
              </w:rPr>
              <w:t>Registration ID:</w:t>
            </w:r>
          </w:p>
        </w:tc>
        <w:tc>
          <w:tcPr>
            <w:tcW w:type="dxa" w:w="6192"/>
            <w:vAlign w:val="center"/>
            <w:tcMar>
              <w:top w:w="80" w:type="dxa"/>
              <w:bottom w:w="80" w:type="dxa"/>
              <w:left w:w="100" w:type="dxa"/>
              <w:right w:w="100" w:type="dxa"/>
            </w:tcMar>
            <w:shd w:fill="F4F6F9"/>
          </w:tcPr>
          <w:p>
            <w:pPr>
              <w:spacing w:after="80"/>
              <w:jc w:val="center"/>
            </w:pPr>
            <w:r>
              <w:rPr>
                <w:rFonts w:ascii="Calibri" w:hAnsi="Calibri"/>
                <w:sz w:val="22"/>
              </w:rPr>
              <w:t>844005</w:t>
            </w:r>
          </w:p>
        </w:tc>
      </w:tr>
      <w:tr>
        <w:tc>
          <w:tcPr>
            <w:tcW w:type="dxa" w:w="3168"/>
            <w:vAlign w:val="center"/>
            <w:tcMar>
              <w:top w:w="80" w:type="dxa"/>
              <w:bottom w:w="80" w:type="dxa"/>
              <w:left w:w="100" w:type="dxa"/>
              <w:right w:w="100" w:type="dxa"/>
            </w:tcMar>
            <w:shd w:fill="F4F6F9"/>
          </w:tcPr>
          <w:p>
            <w:pPr>
              <w:spacing w:after="80"/>
              <w:jc w:val="center"/>
            </w:pPr>
            <w:r>
              <w:rPr>
                <w:rFonts w:ascii="Calibri" w:hAnsi="Calibri"/>
                <w:b/>
                <w:sz w:val="22"/>
              </w:rPr>
              <w:t>Course Code:</w:t>
            </w:r>
          </w:p>
        </w:tc>
        <w:tc>
          <w:tcPr>
            <w:tcW w:type="dxa" w:w="6192"/>
            <w:vAlign w:val="center"/>
            <w:tcMar>
              <w:top w:w="80" w:type="dxa"/>
              <w:bottom w:w="80" w:type="dxa"/>
              <w:left w:w="100" w:type="dxa"/>
              <w:right w:w="100" w:type="dxa"/>
            </w:tcMar>
            <w:shd w:fill="F4F6F9"/>
          </w:tcPr>
          <w:p>
            <w:pPr>
              <w:spacing w:after="80"/>
              <w:jc w:val="center"/>
            </w:pPr>
            <w:r>
              <w:rPr>
                <w:rFonts w:ascii="Calibri" w:hAnsi="Calibri"/>
                <w:sz w:val="22"/>
              </w:rPr>
              <w:t>8611</w:t>
            </w:r>
          </w:p>
        </w:tc>
      </w:tr>
      <w:tr>
        <w:tc>
          <w:tcPr>
            <w:tcW w:type="dxa" w:w="3168"/>
            <w:vAlign w:val="center"/>
            <w:tcMar>
              <w:top w:w="80" w:type="dxa"/>
              <w:bottom w:w="80" w:type="dxa"/>
              <w:left w:w="100" w:type="dxa"/>
              <w:right w:w="100" w:type="dxa"/>
            </w:tcMar>
            <w:shd w:fill="F4F6F9"/>
          </w:tcPr>
          <w:p>
            <w:pPr>
              <w:spacing w:after="80"/>
              <w:jc w:val="center"/>
            </w:pPr>
            <w:r>
              <w:rPr>
                <w:rFonts w:ascii="Calibri" w:hAnsi="Calibri"/>
                <w:b/>
                <w:sz w:val="22"/>
              </w:rPr>
              <w:t>Semester:</w:t>
            </w:r>
          </w:p>
        </w:tc>
        <w:tc>
          <w:tcPr>
            <w:tcW w:type="dxa" w:w="6192"/>
            <w:vAlign w:val="center"/>
            <w:tcMar>
              <w:top w:w="80" w:type="dxa"/>
              <w:bottom w:w="80" w:type="dxa"/>
              <w:left w:w="100" w:type="dxa"/>
              <w:right w:w="100" w:type="dxa"/>
            </w:tcMar>
            <w:shd w:fill="F4F6F9"/>
          </w:tcPr>
          <w:p>
            <w:pPr>
              <w:spacing w:after="80"/>
              <w:jc w:val="center"/>
            </w:pPr>
            <w:r>
              <w:rPr>
                <w:rFonts w:ascii="Calibri" w:hAnsi="Calibri"/>
                <w:sz w:val="22"/>
              </w:rPr>
              <w:t>Spring 2026</w:t>
            </w:r>
          </w:p>
        </w:tc>
      </w:tr>
    </w:tbl>
    <w:p>
      <w:pPr>
        <w:spacing w:after="360"/>
      </w:pPr>
    </w:p>
    <w:p>
      <w:pPr>
        <w:keepNext/>
        <w:spacing w:before="360" w:after="160"/>
      </w:pPr>
      <w:r>
        <w:rPr>
          <w:rFonts w:ascii="Times New Roman" w:hAnsi="Times New Roman"/>
          <w:b/>
          <w:color w:val="111111"/>
          <w:sz w:val="32"/>
        </w:rPr>
        <w:t>Q.1: Why in human civilizations do critical thinkers challenge the status quo?</w:t>
      </w:r>
    </w:p>
    <w:p>
      <w:pPr>
        <w:spacing w:after="200" w:line="276" w:lineRule="auto"/>
      </w:pPr>
      <w:r>
        <w:rPr>
          <w:rFonts w:ascii="Times New Roman" w:hAnsi="Times New Roman"/>
          <w:sz w:val="24"/>
        </w:rPr>
        <w:t>Critical thinkers play a vital role in the evolution of human societies by questioning established norms and practices. Their insights often lead to significant societal advancements, influencing perspectives on governance, culture, and education.</w:t>
      </w:r>
    </w:p>
    <w:p>
      <w:pPr>
        <w:keepNext/>
        <w:spacing w:before="240" w:after="80"/>
      </w:pPr>
      <w:r>
        <w:rPr>
          <w:rFonts w:ascii="Times New Roman" w:hAnsi="Times New Roman"/>
          <w:b/>
          <w:color w:val="222222"/>
          <w:sz w:val="28"/>
        </w:rPr>
        <w:t>Role of Critical Thinkers</w:t>
      </w:r>
    </w:p>
    <w:p>
      <w:pPr>
        <w:spacing w:after="200" w:line="276" w:lineRule="auto"/>
      </w:pPr>
      <w:r>
        <w:rPr>
          <w:rFonts w:ascii="Times New Roman" w:hAnsi="Times New Roman"/>
          <w:sz w:val="24"/>
        </w:rPr>
        <w:t>Critical thinkers analyze and assess societal constructs, aiming to improve and innovate.</w:t>
      </w:r>
    </w:p>
    <w:p>
      <w:pPr>
        <w:keepNext/>
        <w:spacing w:before="240" w:after="80"/>
      </w:pPr>
      <w:r>
        <w:rPr>
          <w:rFonts w:ascii="Times New Roman" w:hAnsi="Times New Roman"/>
          <w:b/>
          <w:color w:val="222222"/>
          <w:sz w:val="28"/>
        </w:rPr>
        <w:t>History of Challenges</w:t>
      </w:r>
    </w:p>
    <w:p>
      <w:pPr>
        <w:spacing w:after="200" w:line="276" w:lineRule="auto"/>
      </w:pPr>
      <w:r>
        <w:rPr>
          <w:rFonts w:ascii="Times New Roman" w:hAnsi="Times New Roman"/>
          <w:sz w:val="24"/>
        </w:rPr>
        <w:t>Throughout history, critical thinkers have sparked revolutions, reformed societies, and inspired change.</w:t>
      </w:r>
    </w:p>
    <w:p>
      <w:pPr>
        <w:keepNext/>
        <w:spacing w:before="240" w:after="80"/>
      </w:pPr>
      <w:r>
        <w:rPr>
          <w:rFonts w:ascii="Times New Roman" w:hAnsi="Times New Roman"/>
          <w:b/>
          <w:color w:val="222222"/>
          <w:sz w:val="28"/>
        </w:rPr>
        <w:t>Characteristics of Critical Thinkers</w:t>
      </w:r>
    </w:p>
    <w:p>
      <w:pPr>
        <w:spacing w:after="200" w:line="276" w:lineRule="auto"/>
      </w:pPr>
      <w:r>
        <w:rPr>
          <w:rFonts w:ascii="Times New Roman" w:hAnsi="Times New Roman"/>
          <w:sz w:val="24"/>
        </w:rPr>
        <w:t>They possess traits such as curiosity, skepticism, and open-mindedness, allowing for deep examination of beliefs.</w:t>
      </w:r>
    </w:p>
    <w:p>
      <w:pPr>
        <w:keepNext/>
        <w:spacing w:before="240" w:after="80"/>
      </w:pPr>
      <w:r>
        <w:rPr>
          <w:rFonts w:ascii="Times New Roman" w:hAnsi="Times New Roman"/>
          <w:b/>
          <w:color w:val="222222"/>
          <w:sz w:val="28"/>
        </w:rPr>
        <w:t>Impact on Society</w:t>
      </w:r>
    </w:p>
    <w:p>
      <w:pPr>
        <w:spacing w:after="200" w:line="276" w:lineRule="auto"/>
      </w:pPr>
      <w:r>
        <w:rPr>
          <w:rFonts w:ascii="Times New Roman" w:hAnsi="Times New Roman"/>
          <w:sz w:val="24"/>
        </w:rPr>
        <w:t>Challenging the status quo leads to progress, whether in human rights, science, or cultural practices.</w:t>
      </w:r>
    </w:p>
    <w:p>
      <w:pPr>
        <w:keepNext/>
        <w:spacing w:before="240" w:after="80"/>
      </w:pPr>
      <w:r>
        <w:rPr>
          <w:rFonts w:ascii="Times New Roman" w:hAnsi="Times New Roman"/>
          <w:b/>
          <w:color w:val="222222"/>
          <w:sz w:val="28"/>
        </w:rPr>
        <w:t>Paradox of Change</w:t>
      </w:r>
    </w:p>
    <w:p>
      <w:pPr>
        <w:spacing w:after="200" w:line="276" w:lineRule="auto"/>
      </w:pPr>
      <w:r>
        <w:rPr>
          <w:rFonts w:ascii="Times New Roman" w:hAnsi="Times New Roman"/>
          <w:sz w:val="24"/>
        </w:rPr>
        <w:t>While critical thinkers propose changes, they face resistance from those benefiting from the status quo.</w:t>
      </w:r>
    </w:p>
    <w:p>
      <w:pPr>
        <w:keepNext/>
        <w:spacing w:before="240" w:after="80"/>
      </w:pPr>
      <w:r>
        <w:rPr>
          <w:rFonts w:ascii="Times New Roman" w:hAnsi="Times New Roman"/>
          <w:b/>
          <w:color w:val="222222"/>
          <w:sz w:val="28"/>
        </w:rPr>
        <w:t>Examples in Civilizations</w:t>
      </w:r>
    </w:p>
    <w:p>
      <w:pPr>
        <w:spacing w:after="200" w:line="276" w:lineRule="auto"/>
      </w:pPr>
      <w:r>
        <w:rPr>
          <w:rFonts w:ascii="Times New Roman" w:hAnsi="Times New Roman"/>
          <w:sz w:val="24"/>
        </w:rPr>
        <w:t>Figures like Socrates, Kant, and contemporary activists exemplify challenging established norms.</w:t>
      </w:r>
    </w:p>
    <w:p>
      <w:pPr>
        <w:keepNext/>
        <w:spacing w:before="240" w:after="80"/>
      </w:pPr>
      <w:r>
        <w:rPr>
          <w:rFonts w:ascii="Times New Roman" w:hAnsi="Times New Roman"/>
          <w:b/>
          <w:color w:val="222222"/>
          <w:sz w:val="28"/>
        </w:rPr>
        <w:t>Value in Education</w:t>
      </w:r>
    </w:p>
    <w:p>
      <w:pPr>
        <w:spacing w:after="200" w:line="276" w:lineRule="auto"/>
      </w:pPr>
      <w:r>
        <w:rPr>
          <w:rFonts w:ascii="Times New Roman" w:hAnsi="Times New Roman"/>
          <w:sz w:val="24"/>
        </w:rPr>
        <w:t>Education systems often rely on critical thinkers to evolve curricula and teaching methodologies.</w:t>
      </w:r>
    </w:p>
    <w:p>
      <w:pPr>
        <w:spacing w:before="200"/>
        <w:jc w:val="center"/>
      </w:pPr>
      <w:r>
        <w:drawing>
          <wp:inline xmlns:a="http://schemas.openxmlformats.org/drawingml/2006/main" xmlns:pic="http://schemas.openxmlformats.org/drawingml/2006/picture">
            <wp:extent cx="4937760" cy="2743200"/>
            <wp:docPr id="2" name="Picture 2"/>
            <wp:cNvGraphicFramePr>
              <a:graphicFrameLocks noChangeAspect="1"/>
            </wp:cNvGraphicFramePr>
            <a:graphic>
              <a:graphicData uri="http://schemas.openxmlformats.org/drawingml/2006/picture">
                <pic:pic>
                  <pic:nvPicPr>
                    <pic:cNvPr id="0" name="temp_5.png"/>
                    <pic:cNvPicPr/>
                  </pic:nvPicPr>
                  <pic:blipFill>
                    <a:blip r:embed="rId10"/>
                    <a:stretch>
                      <a:fillRect/>
                    </a:stretch>
                  </pic:blipFill>
                  <pic:spPr>
                    <a:xfrm>
                      <a:off x="0" y="0"/>
                      <a:ext cx="4937760" cy="2743200"/>
                    </a:xfrm>
                    <a:prstGeom prst="rect"/>
                  </pic:spPr>
                </pic:pic>
              </a:graphicData>
            </a:graphic>
          </wp:inline>
        </w:drawing>
      </w:r>
    </w:p>
    <w:p>
      <w:pPr>
        <w:keepNext/>
        <w:spacing w:before="240" w:after="80"/>
      </w:pPr>
      <w:r>
        <w:rPr>
          <w:rFonts w:ascii="Times New Roman" w:hAnsi="Times New Roman"/>
          <w:b/>
          <w:sz w:val="28"/>
        </w:rPr>
        <w:t>Conclusion</w:t>
      </w:r>
    </w:p>
    <w:p>
      <w:pPr>
        <w:spacing w:after="320" w:line="276" w:lineRule="auto"/>
      </w:pPr>
      <w:r>
        <w:rPr>
          <w:rFonts w:ascii="Times New Roman" w:hAnsi="Times New Roman"/>
          <w:sz w:val="24"/>
        </w:rPr>
        <w:t>Critical thinkers are essential in challenging the status quo. Their ability to question and innovate fosters growth and improvement within societies, ultimately benefiting humanity as a whole.</w:t>
      </w:r>
    </w:p>
    <w:p>
      <w:pPr>
        <w:keepNext/>
        <w:spacing w:before="360" w:after="160"/>
      </w:pPr>
      <w:r>
        <w:rPr>
          <w:rFonts w:ascii="Times New Roman" w:hAnsi="Times New Roman"/>
          <w:b/>
          <w:color w:val="111111"/>
          <w:sz w:val="32"/>
        </w:rPr>
        <w:t>Q.2: Why is critical and reflective thinking important for teachers’ professional growth and development?</w:t>
      </w:r>
    </w:p>
    <w:p>
      <w:pPr>
        <w:spacing w:after="200" w:line="276" w:lineRule="auto"/>
      </w:pPr>
      <w:r>
        <w:rPr>
          <w:rFonts w:ascii="Times New Roman" w:hAnsi="Times New Roman"/>
          <w:sz w:val="24"/>
        </w:rPr>
        <w:t>Critical and reflective thinking are crucial for teachers as they navigate the complexities of education. These processes empower educators to assess their practices, adapt to new challenges, and ultimately enhance student learning outcomes.</w:t>
      </w:r>
    </w:p>
    <w:p>
      <w:pPr>
        <w:keepNext/>
        <w:spacing w:before="240" w:after="80"/>
      </w:pPr>
      <w:r>
        <w:rPr>
          <w:rFonts w:ascii="Times New Roman" w:hAnsi="Times New Roman"/>
          <w:b/>
          <w:color w:val="222222"/>
          <w:sz w:val="28"/>
        </w:rPr>
        <w:t>Defining Critical Thinking</w:t>
      </w:r>
    </w:p>
    <w:p>
      <w:pPr>
        <w:spacing w:after="200" w:line="276" w:lineRule="auto"/>
      </w:pPr>
      <w:r>
        <w:rPr>
          <w:rFonts w:ascii="Times New Roman" w:hAnsi="Times New Roman"/>
          <w:sz w:val="24"/>
        </w:rPr>
        <w:t>It involves analyzing and evaluating one’s own teaching practices.</w:t>
      </w:r>
    </w:p>
    <w:p>
      <w:pPr>
        <w:keepNext/>
        <w:spacing w:before="240" w:after="80"/>
      </w:pPr>
      <w:r>
        <w:rPr>
          <w:rFonts w:ascii="Times New Roman" w:hAnsi="Times New Roman"/>
          <w:b/>
          <w:color w:val="222222"/>
          <w:sz w:val="28"/>
        </w:rPr>
        <w:t>Defining Reflective Thinking</w:t>
      </w:r>
    </w:p>
    <w:p>
      <w:pPr>
        <w:spacing w:after="200" w:line="276" w:lineRule="auto"/>
      </w:pPr>
      <w:r>
        <w:rPr>
          <w:rFonts w:ascii="Times New Roman" w:hAnsi="Times New Roman"/>
          <w:sz w:val="24"/>
        </w:rPr>
        <w:t>This is a process where educators consider their experiences to improve future practices.</w:t>
      </w:r>
    </w:p>
    <w:p>
      <w:pPr>
        <w:keepNext/>
        <w:spacing w:before="240" w:after="80"/>
      </w:pPr>
      <w:r>
        <w:rPr>
          <w:rFonts w:ascii="Times New Roman" w:hAnsi="Times New Roman"/>
          <w:b/>
          <w:color w:val="222222"/>
          <w:sz w:val="28"/>
        </w:rPr>
        <w:t>Improving Classroom Practices</w:t>
      </w:r>
    </w:p>
    <w:p>
      <w:pPr>
        <w:spacing w:after="200" w:line="276" w:lineRule="auto"/>
      </w:pPr>
      <w:r>
        <w:rPr>
          <w:rFonts w:ascii="Times New Roman" w:hAnsi="Times New Roman"/>
          <w:sz w:val="24"/>
        </w:rPr>
        <w:t>Critical reflection aids in identifying effective strategies for diverse learners.</w:t>
      </w:r>
    </w:p>
    <w:p>
      <w:pPr>
        <w:keepNext/>
        <w:spacing w:before="240" w:after="80"/>
      </w:pPr>
      <w:r>
        <w:rPr>
          <w:rFonts w:ascii="Times New Roman" w:hAnsi="Times New Roman"/>
          <w:b/>
          <w:color w:val="222222"/>
          <w:sz w:val="28"/>
        </w:rPr>
        <w:t>Facilitating Professional Development</w:t>
      </w:r>
    </w:p>
    <w:p>
      <w:pPr>
        <w:spacing w:after="200" w:line="276" w:lineRule="auto"/>
      </w:pPr>
      <w:r>
        <w:rPr>
          <w:rFonts w:ascii="Times New Roman" w:hAnsi="Times New Roman"/>
          <w:sz w:val="24"/>
        </w:rPr>
        <w:t>Engaging in critical discussions promotes growth among teaching peers.</w:t>
      </w:r>
    </w:p>
    <w:p>
      <w:pPr>
        <w:keepNext/>
        <w:spacing w:before="240" w:after="80"/>
      </w:pPr>
      <w:r>
        <w:rPr>
          <w:rFonts w:ascii="Times New Roman" w:hAnsi="Times New Roman"/>
          <w:b/>
          <w:color w:val="222222"/>
          <w:sz w:val="28"/>
        </w:rPr>
        <w:t>Adapting to Change</w:t>
      </w:r>
    </w:p>
    <w:p>
      <w:pPr>
        <w:spacing w:after="200" w:line="276" w:lineRule="auto"/>
      </w:pPr>
      <w:r>
        <w:rPr>
          <w:rFonts w:ascii="Times New Roman" w:hAnsi="Times New Roman"/>
          <w:sz w:val="24"/>
        </w:rPr>
        <w:t>Reflective thinking helps educators respond to evolving educational technologies and methodologies.</w:t>
      </w:r>
    </w:p>
    <w:p>
      <w:pPr>
        <w:keepNext/>
        <w:spacing w:before="240" w:after="80"/>
      </w:pPr>
      <w:r>
        <w:rPr>
          <w:rFonts w:ascii="Times New Roman" w:hAnsi="Times New Roman"/>
          <w:b/>
          <w:color w:val="222222"/>
          <w:sz w:val="28"/>
        </w:rPr>
        <w:t>Fostering Student Engagement</w:t>
      </w:r>
    </w:p>
    <w:p>
      <w:pPr>
        <w:spacing w:after="200" w:line="276" w:lineRule="auto"/>
      </w:pPr>
      <w:r>
        <w:rPr>
          <w:rFonts w:ascii="Times New Roman" w:hAnsi="Times New Roman"/>
          <w:sz w:val="24"/>
        </w:rPr>
        <w:t>Teachers who reflect critically often create more engaging and relevant learning environments.</w:t>
      </w:r>
    </w:p>
    <w:p>
      <w:pPr>
        <w:keepNext/>
        <w:spacing w:before="240" w:after="80"/>
      </w:pPr>
      <w:r>
        <w:rPr>
          <w:rFonts w:ascii="Times New Roman" w:hAnsi="Times New Roman"/>
          <w:b/>
          <w:color w:val="222222"/>
          <w:sz w:val="28"/>
        </w:rPr>
        <w:t>Nurturing Lifelong Learning</w:t>
      </w:r>
    </w:p>
    <w:p>
      <w:pPr>
        <w:spacing w:after="200" w:line="276" w:lineRule="auto"/>
      </w:pPr>
      <w:r>
        <w:rPr>
          <w:rFonts w:ascii="Times New Roman" w:hAnsi="Times New Roman"/>
          <w:sz w:val="24"/>
        </w:rPr>
        <w:t>Critical reflection encourages a mindset of ongoing professional development.</w:t>
      </w:r>
    </w:p>
    <w:p>
      <w:pPr>
        <w:spacing w:before="200"/>
        <w:jc w:val="center"/>
      </w:pPr>
      <w:r>
        <w:drawing>
          <wp:inline xmlns:a="http://schemas.openxmlformats.org/drawingml/2006/main" xmlns:pic="http://schemas.openxmlformats.org/drawingml/2006/picture">
            <wp:extent cx="4937760" cy="2743200"/>
            <wp:docPr id="3" name="Picture 3"/>
            <wp:cNvGraphicFramePr>
              <a:graphicFrameLocks noChangeAspect="1"/>
            </wp:cNvGraphicFramePr>
            <a:graphic>
              <a:graphicData uri="http://schemas.openxmlformats.org/drawingml/2006/picture">
                <pic:pic>
                  <pic:nvPicPr>
                    <pic:cNvPr id="0" name="temp_5.png"/>
                    <pic:cNvPicPr/>
                  </pic:nvPicPr>
                  <pic:blipFill>
                    <a:blip r:embed="rId10"/>
                    <a:stretch>
                      <a:fillRect/>
                    </a:stretch>
                  </pic:blipFill>
                  <pic:spPr>
                    <a:xfrm>
                      <a:off x="0" y="0"/>
                      <a:ext cx="4937760" cy="2743200"/>
                    </a:xfrm>
                    <a:prstGeom prst="rect"/>
                  </pic:spPr>
                </pic:pic>
              </a:graphicData>
            </a:graphic>
          </wp:inline>
        </w:drawing>
      </w:r>
    </w:p>
    <w:p>
      <w:pPr>
        <w:keepNext/>
        <w:spacing w:before="240" w:after="80"/>
      </w:pPr>
      <w:r>
        <w:rPr>
          <w:rFonts w:ascii="Times New Roman" w:hAnsi="Times New Roman"/>
          <w:b/>
          <w:sz w:val="28"/>
        </w:rPr>
        <w:t>Conclusion</w:t>
      </w:r>
    </w:p>
    <w:p>
      <w:pPr>
        <w:spacing w:after="320" w:line="276" w:lineRule="auto"/>
      </w:pPr>
      <w:r>
        <w:rPr>
          <w:rFonts w:ascii="Times New Roman" w:hAnsi="Times New Roman"/>
          <w:sz w:val="24"/>
        </w:rPr>
        <w:t>Critical and reflective thinking are vital for teachers’ growth and professional development. By engaging in these processes, educators can enhance their teaching abilities, adapt to changes, and better serve their students.</w:t>
      </w:r>
    </w:p>
    <w:p>
      <w:pPr>
        <w:keepNext/>
        <w:spacing w:before="360" w:after="160"/>
      </w:pPr>
      <w:r>
        <w:rPr>
          <w:rFonts w:ascii="Times New Roman" w:hAnsi="Times New Roman"/>
          <w:b/>
          <w:color w:val="111111"/>
          <w:sz w:val="32"/>
        </w:rPr>
        <w:t>Q.3: How do you see the theories of Paulo Freire and Pierre Bourdieu applicable in Pakistan?</w:t>
      </w:r>
    </w:p>
    <w:p>
      <w:pPr>
        <w:spacing w:after="200" w:line="276" w:lineRule="auto"/>
      </w:pPr>
      <w:r>
        <w:rPr>
          <w:rFonts w:ascii="Times New Roman" w:hAnsi="Times New Roman"/>
          <w:sz w:val="24"/>
        </w:rPr>
        <w:t>The educational theories of Paulo Freire and Pierre Bourdieu provide valuable lenses through which the educational realities of Pakistan can be understood. Both theorists emphasize the importance of social context in education and critique established power structures.</w:t>
      </w:r>
    </w:p>
    <w:p>
      <w:pPr>
        <w:keepNext/>
        <w:spacing w:before="240" w:after="80"/>
      </w:pPr>
      <w:r>
        <w:rPr>
          <w:rFonts w:ascii="Times New Roman" w:hAnsi="Times New Roman"/>
          <w:b/>
          <w:color w:val="222222"/>
          <w:sz w:val="28"/>
        </w:rPr>
        <w:t>Context of Freire's Theory</w:t>
      </w:r>
    </w:p>
    <w:p>
      <w:pPr>
        <w:spacing w:after="200" w:line="276" w:lineRule="auto"/>
      </w:pPr>
      <w:r>
        <w:rPr>
          <w:rFonts w:ascii="Times New Roman" w:hAnsi="Times New Roman"/>
          <w:sz w:val="24"/>
        </w:rPr>
        <w:t>Freire advocates for education that stimulates critical consciousness, allowing learners to challenge oppression.</w:t>
      </w:r>
    </w:p>
    <w:p>
      <w:pPr>
        <w:keepNext/>
        <w:spacing w:before="240" w:after="80"/>
      </w:pPr>
      <w:r>
        <w:rPr>
          <w:rFonts w:ascii="Times New Roman" w:hAnsi="Times New Roman"/>
          <w:b/>
          <w:color w:val="222222"/>
          <w:sz w:val="28"/>
        </w:rPr>
        <w:t>Context of Bourdieu's Theory</w:t>
      </w:r>
    </w:p>
    <w:p>
      <w:pPr>
        <w:spacing w:after="200" w:line="276" w:lineRule="auto"/>
      </w:pPr>
      <w:r>
        <w:rPr>
          <w:rFonts w:ascii="Times New Roman" w:hAnsi="Times New Roman"/>
          <w:sz w:val="24"/>
        </w:rPr>
        <w:t>Bourdieu focuses on the relationship between education and social inequality, highlighting cultural capital's role.</w:t>
      </w:r>
    </w:p>
    <w:p>
      <w:pPr>
        <w:keepNext/>
        <w:spacing w:before="240" w:after="80"/>
      </w:pPr>
      <w:r>
        <w:rPr>
          <w:rFonts w:ascii="Times New Roman" w:hAnsi="Times New Roman"/>
          <w:b/>
          <w:color w:val="222222"/>
          <w:sz w:val="28"/>
        </w:rPr>
        <w:t>Challenges in Pakistan</w:t>
      </w:r>
    </w:p>
    <w:p>
      <w:pPr>
        <w:spacing w:after="200" w:line="276" w:lineRule="auto"/>
      </w:pPr>
      <w:r>
        <w:rPr>
          <w:rFonts w:ascii="Times New Roman" w:hAnsi="Times New Roman"/>
          <w:sz w:val="24"/>
        </w:rPr>
        <w:t>Educational disparities and entrenched social hierarchies in Pakistan reflect these theorists' concerns.</w:t>
      </w:r>
    </w:p>
    <w:p>
      <w:pPr>
        <w:keepNext/>
        <w:spacing w:before="240" w:after="80"/>
      </w:pPr>
      <w:r>
        <w:rPr>
          <w:rFonts w:ascii="Times New Roman" w:hAnsi="Times New Roman"/>
          <w:b/>
          <w:color w:val="222222"/>
          <w:sz w:val="28"/>
        </w:rPr>
        <w:t>Relevance of Freire's Pedagogy</w:t>
      </w:r>
    </w:p>
    <w:p>
      <w:pPr>
        <w:spacing w:after="200" w:line="276" w:lineRule="auto"/>
      </w:pPr>
      <w:r>
        <w:rPr>
          <w:rFonts w:ascii="Times New Roman" w:hAnsi="Times New Roman"/>
          <w:sz w:val="24"/>
        </w:rPr>
        <w:t>Freire's approach enables marginalized groups to reclaim their narrative and foster empowerment.</w:t>
      </w:r>
    </w:p>
    <w:p>
      <w:pPr>
        <w:keepNext/>
        <w:spacing w:before="240" w:after="80"/>
      </w:pPr>
      <w:r>
        <w:rPr>
          <w:rFonts w:ascii="Times New Roman" w:hAnsi="Times New Roman"/>
          <w:b/>
          <w:color w:val="222222"/>
          <w:sz w:val="28"/>
        </w:rPr>
        <w:t>Bourdieu's Cultural Capital</w:t>
      </w:r>
    </w:p>
    <w:p>
      <w:pPr>
        <w:spacing w:after="200" w:line="276" w:lineRule="auto"/>
      </w:pPr>
      <w:r>
        <w:rPr>
          <w:rFonts w:ascii="Times New Roman" w:hAnsi="Times New Roman"/>
          <w:sz w:val="24"/>
        </w:rPr>
        <w:t>Understanding social dynamics can help educators recognize the barriers faced by students from different backgrounds.</w:t>
      </w:r>
    </w:p>
    <w:p>
      <w:pPr>
        <w:keepNext/>
        <w:spacing w:before="240" w:after="80"/>
      </w:pPr>
      <w:r>
        <w:rPr>
          <w:rFonts w:ascii="Times New Roman" w:hAnsi="Times New Roman"/>
          <w:b/>
          <w:color w:val="222222"/>
          <w:sz w:val="28"/>
        </w:rPr>
        <w:t>Application in Curriculum Development</w:t>
      </w:r>
    </w:p>
    <w:p>
      <w:pPr>
        <w:spacing w:after="200" w:line="276" w:lineRule="auto"/>
      </w:pPr>
      <w:r>
        <w:rPr>
          <w:rFonts w:ascii="Times New Roman" w:hAnsi="Times New Roman"/>
          <w:sz w:val="24"/>
        </w:rPr>
        <w:t>Both theories can inform the creation of curricula that address social issues and promote equity.</w:t>
      </w:r>
    </w:p>
    <w:p>
      <w:pPr>
        <w:keepNext/>
        <w:spacing w:before="240" w:after="80"/>
      </w:pPr>
      <w:r>
        <w:rPr>
          <w:rFonts w:ascii="Times New Roman" w:hAnsi="Times New Roman"/>
          <w:b/>
          <w:color w:val="222222"/>
          <w:sz w:val="28"/>
        </w:rPr>
        <w:t>Potential for Societal Change</w:t>
      </w:r>
    </w:p>
    <w:p>
      <w:pPr>
        <w:spacing w:after="200" w:line="276" w:lineRule="auto"/>
      </w:pPr>
      <w:r>
        <w:rPr>
          <w:rFonts w:ascii="Times New Roman" w:hAnsi="Times New Roman"/>
          <w:sz w:val="24"/>
        </w:rPr>
        <w:t>Implementing these theories could spark broader societal awareness and reform.</w:t>
      </w:r>
    </w:p>
    <w:p>
      <w:pPr>
        <w:spacing w:before="200"/>
        <w:jc w:val="center"/>
      </w:pPr>
      <w:r>
        <w:drawing>
          <wp:inline xmlns:a="http://schemas.openxmlformats.org/drawingml/2006/main" xmlns:pic="http://schemas.openxmlformats.org/drawingml/2006/picture">
            <wp:extent cx="4937760" cy="2743200"/>
            <wp:docPr id="4" name="Picture 4"/>
            <wp:cNvGraphicFramePr>
              <a:graphicFrameLocks noChangeAspect="1"/>
            </wp:cNvGraphicFramePr>
            <a:graphic>
              <a:graphicData uri="http://schemas.openxmlformats.org/drawingml/2006/picture">
                <pic:pic>
                  <pic:nvPicPr>
                    <pic:cNvPr id="0" name="temp_5.png"/>
                    <pic:cNvPicPr/>
                  </pic:nvPicPr>
                  <pic:blipFill>
                    <a:blip r:embed="rId10"/>
                    <a:stretch>
                      <a:fillRect/>
                    </a:stretch>
                  </pic:blipFill>
                  <pic:spPr>
                    <a:xfrm>
                      <a:off x="0" y="0"/>
                      <a:ext cx="4937760" cy="2743200"/>
                    </a:xfrm>
                    <a:prstGeom prst="rect"/>
                  </pic:spPr>
                </pic:pic>
              </a:graphicData>
            </a:graphic>
          </wp:inline>
        </w:drawing>
      </w:r>
    </w:p>
    <w:p>
      <w:pPr>
        <w:keepNext/>
        <w:spacing w:before="240" w:after="80"/>
      </w:pPr>
      <w:r>
        <w:rPr>
          <w:rFonts w:ascii="Times New Roman" w:hAnsi="Times New Roman"/>
          <w:b/>
          <w:sz w:val="28"/>
        </w:rPr>
        <w:t>Conclusion</w:t>
      </w:r>
    </w:p>
    <w:p>
      <w:pPr>
        <w:spacing w:after="320" w:line="276" w:lineRule="auto"/>
      </w:pPr>
      <w:r>
        <w:rPr>
          <w:rFonts w:ascii="Times New Roman" w:hAnsi="Times New Roman"/>
          <w:sz w:val="24"/>
        </w:rPr>
        <w:t>The theories of Freire and Bourdieu address critical issues in Pakistan's education system, offering frameworks for empowering marginalized communities and promoting social equity.</w:t>
      </w:r>
    </w:p>
    <w:p>
      <w:pPr>
        <w:keepNext/>
        <w:spacing w:before="360" w:after="160"/>
      </w:pPr>
      <w:r>
        <w:rPr>
          <w:rFonts w:ascii="Times New Roman" w:hAnsi="Times New Roman"/>
          <w:b/>
          <w:color w:val="111111"/>
          <w:sz w:val="32"/>
        </w:rPr>
        <w:t>Q.4: Think of your own learning experiences and write a critical review of classroom instructional practices in schools</w:t>
      </w:r>
    </w:p>
    <w:p>
      <w:pPr>
        <w:spacing w:after="200" w:line="276" w:lineRule="auto"/>
      </w:pPr>
      <w:r>
        <w:rPr>
          <w:rFonts w:ascii="Times New Roman" w:hAnsi="Times New Roman"/>
          <w:sz w:val="24"/>
        </w:rPr>
        <w:t>Personal learning experiences offer profound insights into instructional practices that can enhance or hinder educational outcomes. A critical review of classroom methods must consider both the effectiveness and the impact on student engagement and learning.</w:t>
      </w:r>
    </w:p>
    <w:p>
      <w:pPr>
        <w:keepNext/>
        <w:spacing w:before="240" w:after="80"/>
      </w:pPr>
      <w:r>
        <w:rPr>
          <w:rFonts w:ascii="Times New Roman" w:hAnsi="Times New Roman"/>
          <w:b/>
          <w:color w:val="222222"/>
          <w:sz w:val="28"/>
        </w:rPr>
        <w:t>My Learning Background</w:t>
      </w:r>
    </w:p>
    <w:p>
      <w:pPr>
        <w:spacing w:after="200" w:line="276" w:lineRule="auto"/>
      </w:pPr>
      <w:r>
        <w:rPr>
          <w:rFonts w:ascii="Times New Roman" w:hAnsi="Times New Roman"/>
          <w:sz w:val="24"/>
        </w:rPr>
        <w:t>Reflecting on various classrooms, experiences varied significantly in instructional methods employed.</w:t>
      </w:r>
    </w:p>
    <w:p>
      <w:pPr>
        <w:keepNext/>
        <w:spacing w:before="240" w:after="80"/>
      </w:pPr>
      <w:r>
        <w:rPr>
          <w:rFonts w:ascii="Times New Roman" w:hAnsi="Times New Roman"/>
          <w:b/>
          <w:color w:val="222222"/>
          <w:sz w:val="28"/>
        </w:rPr>
        <w:t>Effective Practices</w:t>
      </w:r>
    </w:p>
    <w:p>
      <w:pPr>
        <w:spacing w:after="200" w:line="276" w:lineRule="auto"/>
      </w:pPr>
      <w:r>
        <w:rPr>
          <w:rFonts w:ascii="Times New Roman" w:hAnsi="Times New Roman"/>
          <w:sz w:val="24"/>
        </w:rPr>
        <w:t>Active learning strategies, such as group work and discussions, fostered deeper understanding.</w:t>
      </w:r>
    </w:p>
    <w:p>
      <w:pPr>
        <w:keepNext/>
        <w:spacing w:before="240" w:after="80"/>
      </w:pPr>
      <w:r>
        <w:rPr>
          <w:rFonts w:ascii="Times New Roman" w:hAnsi="Times New Roman"/>
          <w:b/>
          <w:color w:val="222222"/>
          <w:sz w:val="28"/>
        </w:rPr>
        <w:t>Ineffective Practices</w:t>
      </w:r>
    </w:p>
    <w:p>
      <w:pPr>
        <w:spacing w:after="200" w:line="276" w:lineRule="auto"/>
      </w:pPr>
      <w:r>
        <w:rPr>
          <w:rFonts w:ascii="Times New Roman" w:hAnsi="Times New Roman"/>
          <w:sz w:val="24"/>
        </w:rPr>
        <w:t>Lecture-based approaches often led to disengagement and superficial understanding.</w:t>
      </w:r>
    </w:p>
    <w:p>
      <w:pPr>
        <w:keepNext/>
        <w:spacing w:before="240" w:after="80"/>
      </w:pPr>
      <w:r>
        <w:rPr>
          <w:rFonts w:ascii="Times New Roman" w:hAnsi="Times New Roman"/>
          <w:b/>
          <w:color w:val="222222"/>
          <w:sz w:val="28"/>
        </w:rPr>
        <w:t>Teacher's Role</w:t>
      </w:r>
    </w:p>
    <w:p>
      <w:pPr>
        <w:spacing w:after="200" w:line="276" w:lineRule="auto"/>
      </w:pPr>
      <w:r>
        <w:rPr>
          <w:rFonts w:ascii="Times New Roman" w:hAnsi="Times New Roman"/>
          <w:sz w:val="24"/>
        </w:rPr>
        <w:t>Facilitators who observed, assessed, and adapted practices generally resulted in better student engagement.</w:t>
      </w:r>
    </w:p>
    <w:p>
      <w:pPr>
        <w:keepNext/>
        <w:spacing w:before="240" w:after="80"/>
      </w:pPr>
      <w:r>
        <w:rPr>
          <w:rFonts w:ascii="Times New Roman" w:hAnsi="Times New Roman"/>
          <w:b/>
          <w:color w:val="222222"/>
          <w:sz w:val="28"/>
        </w:rPr>
        <w:t>Feedback and Assessment</w:t>
      </w:r>
    </w:p>
    <w:p>
      <w:pPr>
        <w:spacing w:after="200" w:line="276" w:lineRule="auto"/>
      </w:pPr>
      <w:r>
        <w:rPr>
          <w:rFonts w:ascii="Times New Roman" w:hAnsi="Times New Roman"/>
          <w:sz w:val="24"/>
        </w:rPr>
        <w:t>Constructive feedback is crucial; it guides learners and enhances their understanding.</w:t>
      </w:r>
    </w:p>
    <w:p>
      <w:pPr>
        <w:keepNext/>
        <w:spacing w:before="240" w:after="80"/>
      </w:pPr>
      <w:r>
        <w:rPr>
          <w:rFonts w:ascii="Times New Roman" w:hAnsi="Times New Roman"/>
          <w:b/>
          <w:color w:val="222222"/>
          <w:sz w:val="28"/>
        </w:rPr>
        <w:t>Integration of Technology</w:t>
      </w:r>
    </w:p>
    <w:p>
      <w:pPr>
        <w:spacing w:after="200" w:line="276" w:lineRule="auto"/>
      </w:pPr>
      <w:r>
        <w:rPr>
          <w:rFonts w:ascii="Times New Roman" w:hAnsi="Times New Roman"/>
          <w:sz w:val="24"/>
        </w:rPr>
        <w:t>Technology, when integrated well, improved accessibility and engagement.</w:t>
      </w:r>
    </w:p>
    <w:p>
      <w:pPr>
        <w:keepNext/>
        <w:spacing w:before="240" w:after="80"/>
      </w:pPr>
      <w:r>
        <w:rPr>
          <w:rFonts w:ascii="Times New Roman" w:hAnsi="Times New Roman"/>
          <w:b/>
          <w:color w:val="222222"/>
          <w:sz w:val="28"/>
        </w:rPr>
        <w:t>Cultural Responsiveness</w:t>
      </w:r>
    </w:p>
    <w:p>
      <w:pPr>
        <w:spacing w:after="200" w:line="276" w:lineRule="auto"/>
      </w:pPr>
      <w:r>
        <w:rPr>
          <w:rFonts w:ascii="Times New Roman" w:hAnsi="Times New Roman"/>
          <w:sz w:val="24"/>
        </w:rPr>
        <w:t>Culturally relevant teaching methods were more effective in engaging diverse learners.</w:t>
      </w:r>
    </w:p>
    <w:p>
      <w:pPr>
        <w:spacing w:before="200"/>
        <w:jc w:val="center"/>
      </w:pPr>
      <w:r>
        <w:drawing>
          <wp:inline xmlns:a="http://schemas.openxmlformats.org/drawingml/2006/main" xmlns:pic="http://schemas.openxmlformats.org/drawingml/2006/picture">
            <wp:extent cx="4937760" cy="2743200"/>
            <wp:docPr id="5" name="Picture 5"/>
            <wp:cNvGraphicFramePr>
              <a:graphicFrameLocks noChangeAspect="1"/>
            </wp:cNvGraphicFramePr>
            <a:graphic>
              <a:graphicData uri="http://schemas.openxmlformats.org/drawingml/2006/picture">
                <pic:pic>
                  <pic:nvPicPr>
                    <pic:cNvPr id="0" name="temp_5.png"/>
                    <pic:cNvPicPr/>
                  </pic:nvPicPr>
                  <pic:blipFill>
                    <a:blip r:embed="rId10"/>
                    <a:stretch>
                      <a:fillRect/>
                    </a:stretch>
                  </pic:blipFill>
                  <pic:spPr>
                    <a:xfrm>
                      <a:off x="0" y="0"/>
                      <a:ext cx="4937760" cy="2743200"/>
                    </a:xfrm>
                    <a:prstGeom prst="rect"/>
                  </pic:spPr>
                </pic:pic>
              </a:graphicData>
            </a:graphic>
          </wp:inline>
        </w:drawing>
      </w:r>
    </w:p>
    <w:p>
      <w:pPr>
        <w:keepNext/>
        <w:spacing w:before="240" w:after="80"/>
      </w:pPr>
      <w:r>
        <w:rPr>
          <w:rFonts w:ascii="Times New Roman" w:hAnsi="Times New Roman"/>
          <w:b/>
          <w:sz w:val="28"/>
        </w:rPr>
        <w:t>Conclusion</w:t>
      </w:r>
    </w:p>
    <w:p>
      <w:pPr>
        <w:spacing w:after="320" w:line="276" w:lineRule="auto"/>
      </w:pPr>
      <w:r>
        <w:rPr>
          <w:rFonts w:ascii="Times New Roman" w:hAnsi="Times New Roman"/>
          <w:sz w:val="24"/>
        </w:rPr>
        <w:t>Critical reflections on classroom practices reveal a mixture of successes and failures, emphasizing the need for adaptive and responsive instructional strategies to bolster student engagement and learning.</w:t>
      </w:r>
    </w:p>
    <w:p>
      <w:pPr>
        <w:keepNext/>
        <w:spacing w:before="360" w:after="160"/>
      </w:pPr>
      <w:r>
        <w:rPr>
          <w:rFonts w:ascii="Times New Roman" w:hAnsi="Times New Roman"/>
          <w:b/>
          <w:color w:val="111111"/>
          <w:sz w:val="32"/>
        </w:rPr>
        <w:t>Q.5: How do you see the learners of this generation different from all previous generations?</w:t>
      </w:r>
    </w:p>
    <w:p>
      <w:pPr>
        <w:spacing w:after="200" w:line="276" w:lineRule="auto"/>
      </w:pPr>
      <w:r>
        <w:rPr>
          <w:rFonts w:ascii="Times New Roman" w:hAnsi="Times New Roman"/>
          <w:sz w:val="24"/>
        </w:rPr>
        <w:t>The current generation of learners exhibits distinct characteristics that set them apart from previous cohorts. Understanding these differences is essential for adapting educational practices and preparing students for an increasingly complex world.</w:t>
      </w:r>
    </w:p>
    <w:p>
      <w:pPr>
        <w:keepNext/>
        <w:spacing w:before="240" w:after="80"/>
      </w:pPr>
      <w:r>
        <w:rPr>
          <w:rFonts w:ascii="Times New Roman" w:hAnsi="Times New Roman"/>
          <w:b/>
          <w:color w:val="222222"/>
          <w:sz w:val="28"/>
        </w:rPr>
        <w:t>Digital Natives</w:t>
      </w:r>
    </w:p>
    <w:p>
      <w:pPr>
        <w:spacing w:after="200" w:line="276" w:lineRule="auto"/>
      </w:pPr>
      <w:r>
        <w:rPr>
          <w:rFonts w:ascii="Times New Roman" w:hAnsi="Times New Roman"/>
          <w:sz w:val="24"/>
        </w:rPr>
        <w:t>Learners grow up with technology, impacting their learning habits and accessibility.</w:t>
      </w:r>
    </w:p>
    <w:p>
      <w:pPr>
        <w:keepNext/>
        <w:spacing w:before="240" w:after="80"/>
      </w:pPr>
      <w:r>
        <w:rPr>
          <w:rFonts w:ascii="Times New Roman" w:hAnsi="Times New Roman"/>
          <w:b/>
          <w:color w:val="222222"/>
          <w:sz w:val="28"/>
        </w:rPr>
        <w:t>Information Overload</w:t>
      </w:r>
    </w:p>
    <w:p>
      <w:pPr>
        <w:spacing w:after="200" w:line="276" w:lineRule="auto"/>
      </w:pPr>
      <w:r>
        <w:rPr>
          <w:rFonts w:ascii="Times New Roman" w:hAnsi="Times New Roman"/>
          <w:sz w:val="24"/>
        </w:rPr>
        <w:t>Access to information is unprecedented, requiring critical thinking to discern quality.</w:t>
      </w:r>
    </w:p>
    <w:p>
      <w:pPr>
        <w:keepNext/>
        <w:spacing w:before="240" w:after="80"/>
      </w:pPr>
      <w:r>
        <w:rPr>
          <w:rFonts w:ascii="Times New Roman" w:hAnsi="Times New Roman"/>
          <w:b/>
          <w:color w:val="222222"/>
          <w:sz w:val="28"/>
        </w:rPr>
        <w:t>Diversity and Inclusion</w:t>
      </w:r>
    </w:p>
    <w:p>
      <w:pPr>
        <w:spacing w:after="200" w:line="276" w:lineRule="auto"/>
      </w:pPr>
      <w:r>
        <w:rPr>
          <w:rFonts w:ascii="Times New Roman" w:hAnsi="Times New Roman"/>
          <w:sz w:val="24"/>
        </w:rPr>
        <w:t>Today’s learners are more diverse, necessitating inclusive teaching practices.</w:t>
      </w:r>
    </w:p>
    <w:p>
      <w:pPr>
        <w:keepNext/>
        <w:spacing w:before="240" w:after="80"/>
      </w:pPr>
      <w:r>
        <w:rPr>
          <w:rFonts w:ascii="Times New Roman" w:hAnsi="Times New Roman"/>
          <w:b/>
          <w:color w:val="222222"/>
          <w:sz w:val="28"/>
        </w:rPr>
        <w:t>Collaborative Learning</w:t>
      </w:r>
    </w:p>
    <w:p>
      <w:pPr>
        <w:spacing w:after="200" w:line="276" w:lineRule="auto"/>
      </w:pPr>
      <w:r>
        <w:rPr>
          <w:rFonts w:ascii="Times New Roman" w:hAnsi="Times New Roman"/>
          <w:sz w:val="24"/>
        </w:rPr>
        <w:t>There is a greater emphasis on teamwork and collaboration in learning environments.</w:t>
      </w:r>
    </w:p>
    <w:p>
      <w:pPr>
        <w:keepNext/>
        <w:spacing w:before="240" w:after="80"/>
      </w:pPr>
      <w:r>
        <w:rPr>
          <w:rFonts w:ascii="Times New Roman" w:hAnsi="Times New Roman"/>
          <w:b/>
          <w:color w:val="222222"/>
          <w:sz w:val="28"/>
        </w:rPr>
        <w:t>Shorter Attention Spans</w:t>
      </w:r>
    </w:p>
    <w:p>
      <w:pPr>
        <w:spacing w:after="200" w:line="276" w:lineRule="auto"/>
      </w:pPr>
      <w:r>
        <w:rPr>
          <w:rFonts w:ascii="Times New Roman" w:hAnsi="Times New Roman"/>
          <w:sz w:val="24"/>
        </w:rPr>
        <w:t>The digital age has contributed to reduced attention spans, demanding engaging pedagogies.</w:t>
      </w:r>
    </w:p>
    <w:p>
      <w:pPr>
        <w:keepNext/>
        <w:spacing w:before="240" w:after="80"/>
      </w:pPr>
      <w:r>
        <w:rPr>
          <w:rFonts w:ascii="Times New Roman" w:hAnsi="Times New Roman"/>
          <w:b/>
          <w:color w:val="222222"/>
          <w:sz w:val="28"/>
        </w:rPr>
        <w:t>Global Awareness</w:t>
      </w:r>
    </w:p>
    <w:p>
      <w:pPr>
        <w:spacing w:after="200" w:line="276" w:lineRule="auto"/>
      </w:pPr>
      <w:r>
        <w:rPr>
          <w:rFonts w:ascii="Times New Roman" w:hAnsi="Times New Roman"/>
          <w:sz w:val="24"/>
        </w:rPr>
        <w:t>Learners are more in tune with global issues, urging a cosmopolitan approach in education.</w:t>
      </w:r>
    </w:p>
    <w:p>
      <w:pPr>
        <w:keepNext/>
        <w:spacing w:before="240" w:after="80"/>
      </w:pPr>
      <w:r>
        <w:rPr>
          <w:rFonts w:ascii="Times New Roman" w:hAnsi="Times New Roman"/>
          <w:b/>
          <w:color w:val="222222"/>
          <w:sz w:val="28"/>
        </w:rPr>
        <w:t>Career Flexibility</w:t>
      </w:r>
    </w:p>
    <w:p>
      <w:pPr>
        <w:spacing w:after="200" w:line="276" w:lineRule="auto"/>
      </w:pPr>
      <w:r>
        <w:rPr>
          <w:rFonts w:ascii="Times New Roman" w:hAnsi="Times New Roman"/>
          <w:sz w:val="24"/>
        </w:rPr>
        <w:t>Current learners seek not just traditional career paths but diverse opportunities.</w:t>
      </w:r>
    </w:p>
    <w:p>
      <w:pPr>
        <w:spacing w:before="200"/>
        <w:jc w:val="center"/>
      </w:pPr>
      <w:r>
        <w:drawing>
          <wp:inline xmlns:a="http://schemas.openxmlformats.org/drawingml/2006/main" xmlns:pic="http://schemas.openxmlformats.org/drawingml/2006/picture">
            <wp:extent cx="4937760" cy="2743200"/>
            <wp:docPr id="6" name="Picture 6"/>
            <wp:cNvGraphicFramePr>
              <a:graphicFrameLocks noChangeAspect="1"/>
            </wp:cNvGraphicFramePr>
            <a:graphic>
              <a:graphicData uri="http://schemas.openxmlformats.org/drawingml/2006/picture">
                <pic:pic>
                  <pic:nvPicPr>
                    <pic:cNvPr id="0" name="temp_5.png"/>
                    <pic:cNvPicPr/>
                  </pic:nvPicPr>
                  <pic:blipFill>
                    <a:blip r:embed="rId10"/>
                    <a:stretch>
                      <a:fillRect/>
                    </a:stretch>
                  </pic:blipFill>
                  <pic:spPr>
                    <a:xfrm>
                      <a:off x="0" y="0"/>
                      <a:ext cx="4937760" cy="2743200"/>
                    </a:xfrm>
                    <a:prstGeom prst="rect"/>
                  </pic:spPr>
                </pic:pic>
              </a:graphicData>
            </a:graphic>
          </wp:inline>
        </w:drawing>
      </w:r>
    </w:p>
    <w:p>
      <w:pPr>
        <w:keepNext/>
        <w:spacing w:before="240" w:after="80"/>
      </w:pPr>
      <w:r>
        <w:rPr>
          <w:rFonts w:ascii="Times New Roman" w:hAnsi="Times New Roman"/>
          <w:b/>
          <w:sz w:val="28"/>
        </w:rPr>
        <w:t>Conclusion</w:t>
      </w:r>
    </w:p>
    <w:p>
      <w:pPr>
        <w:spacing w:after="320" w:line="276" w:lineRule="auto"/>
      </w:pPr>
      <w:r>
        <w:rPr>
          <w:rFonts w:ascii="Times New Roman" w:hAnsi="Times New Roman"/>
          <w:sz w:val="24"/>
        </w:rPr>
        <w:t>Today's learners differ significantly from past generations in their digital fluency, diversity, and expectations, prompting a need for educational systems to evolve in response.</w:t>
      </w:r>
    </w:p>
    <w:sectPr w:rsidR="00FC693F" w:rsidRPr="0006063C" w:rsidSect="00034616">
      <w:pgSz w:w="12240" w:h="15840"/>
      <w:pgMar w:top="1440" w:right="1440" w:bottom="1440" w:left="1440" w:header="720" w:footer="720" w:gutter="0"/>
      <w:cols w:space="720"/>
      <w:docGrid w:linePitch="360"/>
      <w:pgBorders w:offsetFrom="page">
        <w:top w:val="double" w:sz="16" w:space="24" w:color="000000"/>
        <w:left w:val="double" w:sz="16" w:space="24" w:color="000000"/>
        <w:bottom w:val="double" w:sz="16" w:space="24" w:color="000000"/>
        <w:right w:val="double" w:sz="1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