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nkotq8emhfz" w:id="0"/>
      <w:bookmarkEnd w:id="0"/>
      <w:r w:rsidDel="00000000" w:rsidR="00000000" w:rsidRPr="00000000">
        <w:rPr>
          <w:b w:val="1"/>
          <w:bCs w:val="1"/>
          <w:sz w:val="46"/>
          <w:szCs w:val="46"/>
          <w:rtl w:val="0"/>
        </w:rPr>
        <w:t xml:space="preserve">Executive Summary Template For Project Findings</w:t>
      </w:r>
    </w:p>
    <w:p w:rsidR="00000000" w:rsidDel="00000000" w:rsidP="00000000" w:rsidRDefault="00000000" w:rsidRPr="00000000" w14:paraId="00000002">
      <w:pPr>
        <w:rPr>
          <w:color w:val="d6d3c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Prepared by: Muhammed Jangana</w:t>
      </w:r>
    </w:p>
    <w:p w:rsidR="00000000" w:rsidDel="00000000" w:rsidP="00000000" w:rsidRDefault="00000000" w:rsidRPr="00000000" w14:paraId="00000004">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Date: 2024-04-20</w:t>
      </w:r>
    </w:p>
    <w:p w:rsidR="00000000" w:rsidDel="00000000" w:rsidP="00000000" w:rsidRDefault="00000000" w:rsidRPr="00000000" w14:paraId="00000005">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Audience: “Business Stakeholders / Management”</w:t>
      </w:r>
    </w:p>
    <w:p w:rsidR="00000000" w:rsidDel="00000000" w:rsidP="00000000" w:rsidRDefault="00000000" w:rsidRPr="00000000" w14:paraId="00000006">
      <w:pPr>
        <w:pStyle w:val="Heading2"/>
        <w:keepNext w:val="0"/>
        <w:keepLines w:val="0"/>
        <w:shd w:fill="293e26" w:val="clear"/>
        <w:spacing w:after="160" w:before="160" w:line="384.00000000000006" w:lineRule="auto"/>
        <w:rPr>
          <w:b w:val="1"/>
          <w:bCs w:val="1"/>
          <w:color w:val="d6d3cd"/>
          <w:sz w:val="35"/>
          <w:szCs w:val="35"/>
        </w:rPr>
      </w:pPr>
      <w:bookmarkStart w:colFirst="0" w:colLast="0" w:name="_1fo6l1k25smd" w:id="1"/>
      <w:bookmarkEnd w:id="1"/>
      <w:r w:rsidDel="00000000" w:rsidR="00000000" w:rsidRPr="00000000">
        <w:rPr>
          <w:color w:val="d6d3cd"/>
          <w:sz w:val="35"/>
          <w:szCs w:val="35"/>
          <w:rtl w:val="0"/>
        </w:rPr>
        <w:t xml:space="preserve">🎯 </w:t>
      </w:r>
      <w:r w:rsidDel="00000000" w:rsidR="00000000" w:rsidRPr="00000000">
        <w:rPr>
          <w:b w:val="1"/>
          <w:bCs w:val="1"/>
          <w:color w:val="d6d3cd"/>
          <w:sz w:val="35"/>
          <w:szCs w:val="35"/>
          <w:rtl w:val="0"/>
        </w:rPr>
        <w:t xml:space="preserve">Project Objective</w:t>
      </w:r>
    </w:p>
    <w:p w:rsidR="00000000" w:rsidDel="00000000" w:rsidP="00000000" w:rsidRDefault="00000000" w:rsidRPr="00000000" w14:paraId="00000007">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The dataset is hosted on Kaggle, and the original business objective is not explicitly defined. For this project, the analysis focuses on understanding operational and sales performance. A high-performing solution will enable better decision-making regarding logistics, marketing strategies, and resource allocation, ultimately leading to reduced operational costs and increased customer satisfaction.</w:t>
      </w:r>
    </w:p>
    <w:p w:rsidR="00000000" w:rsidDel="00000000" w:rsidP="00000000" w:rsidRDefault="00000000" w:rsidRPr="00000000" w14:paraId="00000008">
      <w:pPr>
        <w:pStyle w:val="Heading2"/>
        <w:keepNext w:val="0"/>
        <w:keepLines w:val="0"/>
        <w:shd w:fill="293e26" w:val="clear"/>
        <w:spacing w:after="160" w:before="160" w:line="384.00000000000006" w:lineRule="auto"/>
        <w:rPr>
          <w:b w:val="1"/>
          <w:bCs w:val="1"/>
          <w:color w:val="d6d3cd"/>
          <w:sz w:val="35"/>
          <w:szCs w:val="35"/>
        </w:rPr>
      </w:pPr>
      <w:bookmarkStart w:colFirst="0" w:colLast="0" w:name="_omrs57aat9lo" w:id="2"/>
      <w:bookmarkEnd w:id="2"/>
      <w:r w:rsidDel="00000000" w:rsidR="00000000" w:rsidRPr="00000000">
        <w:rPr>
          <w:color w:val="d6d3cd"/>
          <w:sz w:val="35"/>
          <w:szCs w:val="35"/>
          <w:rtl w:val="0"/>
        </w:rPr>
        <w:t xml:space="preserve">📈 </w:t>
      </w:r>
      <w:r w:rsidDel="00000000" w:rsidR="00000000" w:rsidRPr="00000000">
        <w:rPr>
          <w:b w:val="1"/>
          <w:bCs w:val="1"/>
          <w:color w:val="d6d3cd"/>
          <w:sz w:val="35"/>
          <w:szCs w:val="35"/>
          <w:rtl w:val="0"/>
        </w:rPr>
        <w:t xml:space="preserve">Context &amp; Importance</w:t>
      </w:r>
    </w:p>
    <w:p w:rsidR="00000000" w:rsidDel="00000000" w:rsidP="00000000" w:rsidRDefault="00000000" w:rsidRPr="00000000" w14:paraId="00000009">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The e-commerce landscape is dynamic, with increasing customer expectations for timely delivery and personalized experiences. Operational bottlenecks, such as shipping delays and delivery failures, directly impact customer satisfaction and profitability, while a lack of understanding of customer purchasing behavior can lead to missed sales opportunities. I</w:t>
      </w:r>
      <w:r w:rsidDel="00000000" w:rsidR="00000000" w:rsidRPr="00000000">
        <w:rPr>
          <w:color w:val="d6d3cd"/>
          <w:sz w:val="24"/>
          <w:szCs w:val="24"/>
          <w:rtl w:val="0"/>
        </w:rPr>
        <w:t xml:space="preserve">n this analysis, over 3 million entries from e-commerce order and supply chain data were processed, highlighting the need for data-driven intervention and insights to optimize the entire value chain.</w:t>
      </w:r>
    </w:p>
    <w:p w:rsidR="00000000" w:rsidDel="00000000" w:rsidP="00000000" w:rsidRDefault="00000000" w:rsidRPr="00000000" w14:paraId="0000000A">
      <w:pPr>
        <w:pStyle w:val="Heading2"/>
        <w:keepNext w:val="0"/>
        <w:keepLines w:val="0"/>
        <w:shd w:fill="293e26" w:val="clear"/>
        <w:spacing w:after="160" w:before="160" w:line="384.00000000000006" w:lineRule="auto"/>
        <w:rPr>
          <w:b w:val="1"/>
          <w:bCs w:val="1"/>
          <w:color w:val="d6d3cd"/>
          <w:sz w:val="35"/>
          <w:szCs w:val="35"/>
        </w:rPr>
      </w:pPr>
      <w:bookmarkStart w:colFirst="0" w:colLast="0" w:name="_dg6gg6yzvwp6" w:id="3"/>
      <w:bookmarkEnd w:id="3"/>
      <w:r w:rsidDel="00000000" w:rsidR="00000000" w:rsidRPr="00000000">
        <w:rPr>
          <w:color w:val="d6d3cd"/>
          <w:sz w:val="35"/>
          <w:szCs w:val="35"/>
          <w:rtl w:val="0"/>
        </w:rPr>
        <w:t xml:space="preserve">🛠️ </w:t>
      </w:r>
      <w:r w:rsidDel="00000000" w:rsidR="00000000" w:rsidRPr="00000000">
        <w:rPr>
          <w:b w:val="1"/>
          <w:bCs w:val="1"/>
          <w:color w:val="d6d3cd"/>
          <w:sz w:val="35"/>
          <w:szCs w:val="35"/>
          <w:rtl w:val="0"/>
        </w:rPr>
        <w:t xml:space="preserve">Methodology</w:t>
      </w:r>
    </w:p>
    <w:p w:rsidR="00000000" w:rsidDel="00000000" w:rsidP="00000000" w:rsidRDefault="00000000" w:rsidRPr="00000000" w14:paraId="0000000B">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To derive robust insights, extensive data cleaning, preprocessing, and merging of test and train datasets were performed. Key steps included converting timestamp columns, imputing missing product dimensions and categories, and calculating crucial business metrics.</w:t>
      </w:r>
    </w:p>
    <w:p w:rsidR="00000000" w:rsidDel="00000000" w:rsidP="00000000" w:rsidRDefault="00000000" w:rsidRPr="00000000" w14:paraId="0000000C">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Analysis was done on historical transaction data and incorporated key influencing factors such as order purchase and delivery timestamps, product categories, pricing, and shipping charges to understand various aspects of the supply chain and customer interactions.</w:t>
      </w:r>
    </w:p>
    <w:p w:rsidR="00000000" w:rsidDel="00000000" w:rsidP="00000000" w:rsidRDefault="00000000" w:rsidRPr="00000000" w14:paraId="0000000D">
      <w:pPr>
        <w:pStyle w:val="Heading2"/>
        <w:keepNext w:val="0"/>
        <w:keepLines w:val="0"/>
        <w:shd w:fill="293e26" w:val="clear"/>
        <w:spacing w:after="160" w:before="160" w:line="384.00000000000006" w:lineRule="auto"/>
        <w:rPr>
          <w:b w:val="1"/>
          <w:bCs w:val="1"/>
          <w:color w:val="d6d3cd"/>
          <w:sz w:val="35"/>
          <w:szCs w:val="35"/>
        </w:rPr>
      </w:pPr>
      <w:bookmarkStart w:colFirst="0" w:colLast="0" w:name="_7xl38zqmkjsk" w:id="4"/>
      <w:bookmarkEnd w:id="4"/>
      <w:r w:rsidDel="00000000" w:rsidR="00000000" w:rsidRPr="00000000">
        <w:rPr>
          <w:color w:val="d6d3cd"/>
          <w:sz w:val="35"/>
          <w:szCs w:val="35"/>
          <w:rtl w:val="0"/>
        </w:rPr>
        <w:t xml:space="preserve">🔍 </w:t>
      </w:r>
      <w:r w:rsidDel="00000000" w:rsidR="00000000" w:rsidRPr="00000000">
        <w:rPr>
          <w:b w:val="1"/>
          <w:bCs w:val="1"/>
          <w:color w:val="d6d3cd"/>
          <w:sz w:val="35"/>
          <w:szCs w:val="35"/>
          <w:rtl w:val="0"/>
        </w:rPr>
        <w:t xml:space="preserve">Key Findings</w:t>
      </w:r>
    </w:p>
    <w:p w:rsidR="00000000" w:rsidDel="00000000" w:rsidP="00000000" w:rsidRDefault="00000000" w:rsidRPr="00000000" w14:paraId="0000000E">
      <w:pPr>
        <w:shd w:fill="293e26" w:val="clear"/>
        <w:spacing w:after="120" w:before="120" w:line="384.00000000000006" w:lineRule="auto"/>
        <w:rPr>
          <w:b w:val="1"/>
          <w:bCs w:val="1"/>
          <w:color w:val="d6d3cd"/>
          <w:sz w:val="24"/>
          <w:szCs w:val="24"/>
        </w:rPr>
      </w:pPr>
      <w:r w:rsidDel="00000000" w:rsidR="00000000" w:rsidRPr="00000000">
        <w:rPr>
          <w:b w:val="1"/>
          <w:bCs w:val="1"/>
          <w:color w:val="d6d3cd"/>
          <w:sz w:val="24"/>
          <w:szCs w:val="24"/>
          <w:rtl w:val="0"/>
        </w:rPr>
        <w:t xml:space="preserve">Top Features Influencing Outcome:</w:t>
      </w:r>
    </w:p>
    <w:p w:rsidR="00000000" w:rsidDel="00000000" w:rsidP="00000000" w:rsidRDefault="00000000" w:rsidRPr="00000000" w14:paraId="0000000F">
      <w:pPr>
        <w:numPr>
          <w:ilvl w:val="0"/>
          <w:numId w:val="3"/>
        </w:numPr>
        <w:spacing w:after="0" w:afterAutospacing="0" w:before="120" w:lineRule="auto"/>
        <w:ind w:left="720" w:hanging="360"/>
      </w:pPr>
      <w:r w:rsidDel="00000000" w:rsidR="00000000" w:rsidRPr="00000000">
        <w:rPr>
          <w:b w:val="1"/>
          <w:bCs w:val="1"/>
          <w:color w:val="d6d3cd"/>
          <w:sz w:val="24"/>
          <w:szCs w:val="24"/>
          <w:rtl w:val="0"/>
        </w:rPr>
        <w:t xml:space="preserve">On-time Delivery Rate</w:t>
      </w:r>
      <w:r w:rsidDel="00000000" w:rsidR="00000000" w:rsidRPr="00000000">
        <w:rPr>
          <w:color w:val="d6d3cd"/>
          <w:sz w:val="24"/>
          <w:szCs w:val="24"/>
          <w:rtl w:val="0"/>
        </w:rPr>
        <w:t xml:space="preserve">: A critical indicator of logistics efficiency, showing that 77.00% of orders were on-time/early, with 5.76% delayed and 17.24% not delivered/pending.</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color w:val="d6d3cd"/>
          <w:sz w:val="24"/>
          <w:szCs w:val="24"/>
          <w:rtl w:val="0"/>
        </w:rPr>
        <w:t xml:space="preserve">Product Category Performance</w:t>
      </w:r>
      <w:r w:rsidDel="00000000" w:rsidR="00000000" w:rsidRPr="00000000">
        <w:rPr>
          <w:color w:val="d6d3cd"/>
          <w:sz w:val="24"/>
          <w:szCs w:val="24"/>
          <w:rtl w:val="0"/>
        </w:rPr>
        <w:t xml:space="preserve">: Analysis revealed demand patterns and revenue drivers (e.g., 'toys' significantly leading in sales).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color w:val="d6d3cd"/>
          <w:sz w:val="24"/>
          <w:szCs w:val="24"/>
          <w:rtl w:val="0"/>
        </w:rPr>
        <w:t xml:space="preserve">Average Order Value (AOV)</w:t>
      </w:r>
      <w:r w:rsidDel="00000000" w:rsidR="00000000" w:rsidRPr="00000000">
        <w:rPr>
          <w:color w:val="d6d3cd"/>
          <w:sz w:val="24"/>
          <w:szCs w:val="24"/>
          <w:rtl w:val="0"/>
        </w:rPr>
        <w:t xml:space="preserve">: Represents customer spending habits per transaction, calculated at $13,845.84.</w:t>
      </w:r>
    </w:p>
    <w:p w:rsidR="00000000" w:rsidDel="00000000" w:rsidP="00000000" w:rsidRDefault="00000000" w:rsidRPr="00000000" w14:paraId="00000012">
      <w:pPr>
        <w:numPr>
          <w:ilvl w:val="0"/>
          <w:numId w:val="3"/>
        </w:numPr>
        <w:spacing w:after="0" w:afterAutospacing="0" w:before="0" w:beforeAutospacing="0" w:lineRule="auto"/>
        <w:ind w:left="720" w:hanging="360"/>
      </w:pPr>
      <w:commentRangeStart w:id="0"/>
      <w:r w:rsidDel="00000000" w:rsidR="00000000" w:rsidRPr="00000000">
        <w:rPr>
          <w:b w:val="1"/>
          <w:bCs w:val="1"/>
          <w:color w:val="d6d3cd"/>
          <w:sz w:val="24"/>
          <w:szCs w:val="24"/>
          <w:rtl w:val="0"/>
        </w:rPr>
        <w:t xml:space="preserve">Customer Lifetime Value (CLV)</w:t>
      </w:r>
      <w:r w:rsidDel="00000000" w:rsidR="00000000" w:rsidRPr="00000000">
        <w:rPr>
          <w:color w:val="d6d3cd"/>
          <w:sz w:val="24"/>
          <w:szCs w:val="24"/>
          <w:rtl w:val="0"/>
        </w:rPr>
        <w:t xml:space="preserve">: Identifies and quantifies the most valuable customers.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numPr>
          <w:ilvl w:val="0"/>
          <w:numId w:val="3"/>
        </w:numPr>
        <w:spacing w:after="120" w:before="0" w:beforeAutospacing="0" w:lineRule="auto"/>
        <w:ind w:left="720" w:hanging="360"/>
      </w:pPr>
      <w:r w:rsidDel="00000000" w:rsidR="00000000" w:rsidRPr="00000000">
        <w:rPr>
          <w:b w:val="1"/>
          <w:bCs w:val="1"/>
          <w:color w:val="d6d3cd"/>
          <w:sz w:val="24"/>
          <w:szCs w:val="24"/>
          <w:rtl w:val="0"/>
        </w:rPr>
        <w:t xml:space="preserve">Order Status Distribution</w:t>
      </w:r>
      <w:r w:rsidDel="00000000" w:rsidR="00000000" w:rsidRPr="00000000">
        <w:rPr>
          <w:color w:val="d6d3cd"/>
          <w:sz w:val="24"/>
          <w:szCs w:val="24"/>
          <w:rtl w:val="0"/>
        </w:rPr>
        <w:t xml:space="preserve">: Highlights operational challenges and opportunities in order fulfillment for various statuses.</w:t>
      </w:r>
    </w:p>
    <w:p w:rsidR="00000000" w:rsidDel="00000000" w:rsidP="00000000" w:rsidRDefault="00000000" w:rsidRPr="00000000" w14:paraId="00000014">
      <w:pPr>
        <w:pStyle w:val="Heading2"/>
        <w:keepNext w:val="0"/>
        <w:keepLines w:val="0"/>
        <w:shd w:fill="293e26" w:val="clear"/>
        <w:spacing w:after="160" w:before="160" w:line="384.00000000000006" w:lineRule="auto"/>
        <w:rPr>
          <w:b w:val="1"/>
          <w:bCs w:val="1"/>
          <w:color w:val="d6d3cd"/>
          <w:sz w:val="35"/>
          <w:szCs w:val="35"/>
        </w:rPr>
      </w:pPr>
      <w:bookmarkStart w:colFirst="0" w:colLast="0" w:name="_bfas5xr3nopl" w:id="5"/>
      <w:bookmarkEnd w:id="5"/>
      <w:r w:rsidDel="00000000" w:rsidR="00000000" w:rsidRPr="00000000">
        <w:rPr>
          <w:b w:val="1"/>
          <w:bCs w:val="1"/>
          <w:color w:val="d6d3cd"/>
          <w:sz w:val="35"/>
          <w:szCs w:val="35"/>
          <w:rtl w:val="0"/>
        </w:rPr>
        <w:t xml:space="preserve">Analysis Workflow Performance:</w:t>
      </w:r>
    </w:p>
    <w:p w:rsidR="00000000" w:rsidDel="00000000" w:rsidP="00000000" w:rsidRDefault="00000000" w:rsidRPr="00000000" w14:paraId="00000015">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The analytical workflow successfully integrated disparate datasets and transformed raw data into actionable insights, providing a clear view of:</w:t>
      </w:r>
    </w:p>
    <w:p w:rsidR="00000000" w:rsidDel="00000000" w:rsidP="00000000" w:rsidRDefault="00000000" w:rsidRPr="00000000" w14:paraId="00000016">
      <w:pPr>
        <w:numPr>
          <w:ilvl w:val="0"/>
          <w:numId w:val="2"/>
        </w:numPr>
        <w:spacing w:after="0" w:afterAutospacing="0" w:before="120" w:lineRule="auto"/>
        <w:ind w:left="720" w:hanging="360"/>
      </w:pPr>
      <w:r w:rsidDel="00000000" w:rsidR="00000000" w:rsidRPr="00000000">
        <w:rPr>
          <w:b w:val="1"/>
          <w:bCs w:val="1"/>
          <w:color w:val="d6d3cd"/>
          <w:sz w:val="24"/>
          <w:szCs w:val="24"/>
          <w:rtl w:val="0"/>
        </w:rPr>
        <w:t xml:space="preserve">Delivery performance metrics (on-time rate, lead time, delay).</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color w:val="d6d3cd"/>
          <w:sz w:val="24"/>
          <w:szCs w:val="24"/>
          <w:rtl w:val="0"/>
        </w:rPr>
        <w:t xml:space="preserve">Customer value and spending patterns.</w:t>
      </w:r>
    </w:p>
    <w:p w:rsidR="00000000" w:rsidDel="00000000" w:rsidP="00000000" w:rsidRDefault="00000000" w:rsidRPr="00000000" w14:paraId="00000018">
      <w:pPr>
        <w:numPr>
          <w:ilvl w:val="0"/>
          <w:numId w:val="2"/>
        </w:numPr>
        <w:spacing w:after="120" w:before="0" w:beforeAutospacing="0" w:lineRule="auto"/>
        <w:ind w:left="720" w:hanging="360"/>
      </w:pPr>
      <w:r w:rsidDel="00000000" w:rsidR="00000000" w:rsidRPr="00000000">
        <w:rPr>
          <w:b w:val="1"/>
          <w:bCs w:val="1"/>
          <w:color w:val="d6d3cd"/>
          <w:sz w:val="24"/>
          <w:szCs w:val="24"/>
          <w:rtl w:val="0"/>
        </w:rPr>
        <w:t xml:space="preserve">Product category profitability and market demand.</w:t>
      </w:r>
      <w:r w:rsidDel="00000000" w:rsidR="00000000" w:rsidRPr="00000000">
        <w:rPr>
          <w:color w:val="d6d3cd"/>
          <w:sz w:val="24"/>
          <w:szCs w:val="24"/>
          <w:rtl w:val="0"/>
        </w:rPr>
        <w:t xml:space="preserve"> This foundational analysis will serve as a baseline for future optimizations.</w:t>
      </w:r>
    </w:p>
    <w:p w:rsidR="00000000" w:rsidDel="00000000" w:rsidP="00000000" w:rsidRDefault="00000000" w:rsidRPr="00000000" w14:paraId="00000019">
      <w:pPr>
        <w:pStyle w:val="Heading2"/>
        <w:keepNext w:val="0"/>
        <w:keepLines w:val="0"/>
        <w:shd w:fill="293e26" w:val="clear"/>
        <w:spacing w:after="160" w:before="160" w:line="384.00000000000006" w:lineRule="auto"/>
        <w:rPr>
          <w:b w:val="1"/>
          <w:bCs w:val="1"/>
          <w:color w:val="d6d3cd"/>
          <w:sz w:val="35"/>
          <w:szCs w:val="35"/>
        </w:rPr>
      </w:pPr>
      <w:bookmarkStart w:colFirst="0" w:colLast="0" w:name="_q3j4uyxk7xy7" w:id="6"/>
      <w:bookmarkEnd w:id="6"/>
      <w:r w:rsidDel="00000000" w:rsidR="00000000" w:rsidRPr="00000000">
        <w:rPr>
          <w:rFonts w:ascii="Arial Unicode MS" w:cs="Arial Unicode MS" w:eastAsia="Arial Unicode MS" w:hAnsi="Arial Unicode MS"/>
          <w:color w:val="d6d3cd"/>
          <w:sz w:val="35"/>
          <w:szCs w:val="35"/>
          <w:rtl w:val="0"/>
        </w:rPr>
        <w:t xml:space="preserve">✅ </w:t>
      </w:r>
      <w:r w:rsidDel="00000000" w:rsidR="00000000" w:rsidRPr="00000000">
        <w:rPr>
          <w:b w:val="1"/>
          <w:bCs w:val="1"/>
          <w:color w:val="d6d3cd"/>
          <w:sz w:val="35"/>
          <w:szCs w:val="35"/>
          <w:rtl w:val="0"/>
        </w:rPr>
        <w:t xml:space="preserve">Recommendation</w:t>
      </w:r>
    </w:p>
    <w:p w:rsidR="00000000" w:rsidDel="00000000" w:rsidP="00000000" w:rsidRDefault="00000000" w:rsidRPr="00000000" w14:paraId="0000001A">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The comprehensive analysis meets the objective of providing data-driven insights for business stakeholders.</w:t>
      </w:r>
    </w:p>
    <w:p w:rsidR="00000000" w:rsidDel="00000000" w:rsidP="00000000" w:rsidRDefault="00000000" w:rsidRPr="00000000" w14:paraId="0000001B">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R</w:t>
      </w:r>
      <w:r w:rsidDel="00000000" w:rsidR="00000000" w:rsidRPr="00000000">
        <w:rPr>
          <w:color w:val="d6d3cd"/>
          <w:sz w:val="24"/>
          <w:szCs w:val="24"/>
          <w:rtl w:val="0"/>
        </w:rPr>
        <w:t xml:space="preserve">ecommended focused areas to take action on:</w:t>
      </w:r>
    </w:p>
    <w:p w:rsidR="00000000" w:rsidDel="00000000" w:rsidP="00000000" w:rsidRDefault="00000000" w:rsidRPr="00000000" w14:paraId="0000001C">
      <w:pPr>
        <w:numPr>
          <w:ilvl w:val="0"/>
          <w:numId w:val="1"/>
        </w:numPr>
        <w:spacing w:after="0" w:afterAutospacing="0" w:before="120" w:lineRule="auto"/>
        <w:ind w:left="720" w:hanging="360"/>
      </w:pPr>
      <w:r w:rsidDel="00000000" w:rsidR="00000000" w:rsidRPr="00000000">
        <w:rPr>
          <w:b w:val="1"/>
          <w:bCs w:val="1"/>
          <w:color w:val="d6d3cd"/>
          <w:sz w:val="24"/>
          <w:szCs w:val="24"/>
          <w:rtl w:val="0"/>
        </w:rPr>
        <w:t xml:space="preserve">Improving the 77.00% on-time delivery rate by addressing the root causes of delayed and pending orders.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color w:val="d6d3cd"/>
          <w:sz w:val="24"/>
          <w:szCs w:val="24"/>
          <w:rtl w:val="0"/>
        </w:rPr>
        <w:t xml:space="preserve">Leveraging high-performing categories ('toys', 'garden_tools') for strategic growth.</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color w:val="d6d3cd"/>
          <w:sz w:val="24"/>
          <w:szCs w:val="24"/>
          <w:rtl w:val="0"/>
        </w:rPr>
        <w:t xml:space="preserve">Developing targeted retention strategies for high-CLV customers.</w:t>
      </w:r>
    </w:p>
    <w:p w:rsidR="00000000" w:rsidDel="00000000" w:rsidP="00000000" w:rsidRDefault="00000000" w:rsidRPr="00000000" w14:paraId="0000001F">
      <w:pPr>
        <w:numPr>
          <w:ilvl w:val="0"/>
          <w:numId w:val="1"/>
        </w:numPr>
        <w:spacing w:after="120" w:before="0" w:beforeAutospacing="0" w:lineRule="auto"/>
        <w:ind w:left="720" w:hanging="360"/>
      </w:pPr>
      <w:r w:rsidDel="00000000" w:rsidR="00000000" w:rsidRPr="00000000">
        <w:rPr>
          <w:b w:val="1"/>
          <w:bCs w:val="1"/>
          <w:color w:val="d6d3cd"/>
          <w:sz w:val="24"/>
          <w:szCs w:val="24"/>
          <w:rtl w:val="0"/>
        </w:rPr>
        <w:t xml:space="preserve">Streamlining data management for better product categorization to enable more precise sales and inventory monitoring.</w:t>
      </w:r>
    </w:p>
    <w:p w:rsidR="00000000" w:rsidDel="00000000" w:rsidP="00000000" w:rsidRDefault="00000000" w:rsidRPr="00000000" w14:paraId="00000020">
      <w:pPr>
        <w:pStyle w:val="Heading2"/>
        <w:keepNext w:val="0"/>
        <w:keepLines w:val="0"/>
        <w:shd w:fill="293e26" w:val="clear"/>
        <w:spacing w:after="160" w:before="160" w:line="384.00000000000006" w:lineRule="auto"/>
        <w:rPr>
          <w:color w:val="d6d3cd"/>
          <w:sz w:val="24"/>
          <w:szCs w:val="24"/>
        </w:rPr>
      </w:pPr>
      <w:bookmarkStart w:colFirst="0" w:colLast="0" w:name="_gdpajlt0de66" w:id="7"/>
      <w:bookmarkEnd w:id="7"/>
      <w:r w:rsidDel="00000000" w:rsidR="00000000" w:rsidRPr="00000000">
        <w:rPr>
          <w:color w:val="d6d3cd"/>
          <w:sz w:val="35"/>
          <w:szCs w:val="35"/>
          <w:rtl w:val="0"/>
        </w:rPr>
        <w:t xml:space="preserve">🔮 </w:t>
      </w:r>
      <w:r w:rsidDel="00000000" w:rsidR="00000000" w:rsidRPr="00000000">
        <w:rPr>
          <w:b w:val="1"/>
          <w:bCs w:val="1"/>
          <w:color w:val="d6d3cd"/>
          <w:sz w:val="35"/>
          <w:szCs w:val="35"/>
          <w:rtl w:val="0"/>
        </w:rPr>
        <w:t xml:space="preserve">Next Steps</w:t>
      </w:r>
      <w:r w:rsidDel="00000000" w:rsidR="00000000" w:rsidRPr="00000000">
        <w:rPr>
          <w:rtl w:val="0"/>
        </w:rPr>
      </w:r>
    </w:p>
    <w:p w:rsidR="00000000" w:rsidDel="00000000" w:rsidP="00000000" w:rsidRDefault="00000000" w:rsidRPr="00000000" w14:paraId="00000021">
      <w:pPr>
        <w:shd w:fill="293e26" w:val="clear"/>
        <w:spacing w:after="120" w:before="120" w:line="384.00000000000006" w:lineRule="auto"/>
        <w:rPr>
          <w:color w:val="d6d3cd"/>
          <w:sz w:val="24"/>
          <w:szCs w:val="24"/>
        </w:rPr>
      </w:pPr>
      <w:r w:rsidDel="00000000" w:rsidR="00000000" w:rsidRPr="00000000">
        <w:rPr>
          <w:color w:val="d6d3cd"/>
          <w:sz w:val="24"/>
          <w:szCs w:val="24"/>
          <w:rtl w:val="0"/>
        </w:rPr>
        <w:t xml:space="preserve">Future enhancements may include developing predictive models for demand forecasting, implementing customer segmentation for more granular marketing, and integrating real-time data for dynamic supply chain management decisions.</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ed" w:id="0" w:date="2026-04-22T20:19:29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python analysis and create visual for top 10 customers by CLV to emphasis further insight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6d3c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6d3c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6d3c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