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IronCore Fitness Dashboard Insights</w:t>
      </w:r>
    </w:p>
    <w:p>
      <w:r>
        <w:br/>
        <w:t>1. Revenue Performance</w:t>
        <w:br/>
        <w:t>Revenue shows significant fluctuations over time with no consistent upward trend. The forecast indicates a stable to slightly declining pattern around the current levels. This suggests that the business is not experiencing sustained growth and is dependent on short-term performance.</w:t>
        <w:br/>
        <w:br/>
        <w:t>2. Customer Risk</w:t>
        <w:br/>
        <w:t>A large proportion of customers fall into the At Risk segment. This segment also contributes a significant share of total revenue. This indicates a high dependency on customers who are likely to churn, creating a potential risk for future revenue stability.</w:t>
        <w:br/>
        <w:br/>
        <w:t>3. Product Performance</w:t>
        <w:br/>
        <w:t>The Standard membership plan is the strongest performer, contributing the highest total revenue and revenue per member. In contrast, the Premium plan underperforms in terms of revenue per user, indicating potential issues with pricing, value perception, or retention.</w:t>
        <w:br/>
        <w:br/>
        <w:t>4. Regional Performance</w:t>
        <w:br/>
        <w:t>Revenue is concentrated in a few high-performing branches such as BR04 and BR05. Several other branches contribute significantly less, indicating uneven performance across locations and potential operational inefficiencies.</w:t>
        <w:br/>
        <w:br/>
        <w:t>5. Customer Behavior</w:t>
        <w:br/>
        <w:t>Customer engagement is strong in the initial months after joining but declines noticeably over time. This indicates weak mid-term retention and highlights the need for better customer lifecycle management.</w:t>
        <w:br/>
        <w:br/>
        <w:t>6. Forecast and Business Outlook</w:t>
        <w:br/>
        <w:t>The forecast indicates that revenue is likely to remain stable with a slight declining tendency. There is no indication of strong organic growth, suggesting that intervention is required to improve performance.</w:t>
        <w:br/>
        <w:br/>
        <w:t>7. Strategic Recommendations</w:t>
        <w:br/>
        <w:t>- Focus on improving retention of At Risk customers to stabilize revenue.</w:t>
        <w:br/>
        <w:t>- Leverage the Standard membership plan for growth as it delivers the highest value.</w:t>
        <w:br/>
        <w:t>- Re-evaluate the Premium membership offering to improve its performance.</w:t>
        <w:br/>
        <w:t>- Identify and replicate best practices from top-performing branches.</w:t>
        <w:br/>
        <w:t>- Implement strategies to improve long-term customer engagement and retention.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