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1b5e20"/>
          <w:sz w:val="30"/>
          <w:szCs w:val="30"/>
        </w:rPr>
        <w:t>BIM216 – Database Management Systems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2e7d32"/>
          <w:sz w:val="26"/>
          <w:szCs w:val="26"/>
        </w:rPr>
        <w:t>Term Project – Final Report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1b5e20"/>
          <w:sz w:val="34"/>
          <w:szCs w:val="34"/>
        </w:rPr>
        <w:t>Eco-Track: Supply Chain Carbon Management System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Project No: 7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Group No: 17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Group Members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1b5e2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0"/>
                <w:szCs w:val="20"/>
              </w:rPr>
              <w:t>Name Surname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1b5e2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0"/>
                <w:szCs w:val="20"/>
              </w:rPr>
              <w:t>Contribution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Muhammed Beşir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50%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Muhammed Asım Çiçek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50%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center"/>
      </w:pPr>
      <w:r>
        <w:rPr>
          <w:rFonts w:ascii="Arial Italics" w:hAnsi="Arial Italics" w:cs="Arial Italics" w:eastAsia="Arial Italics"/>
          <w:i/>
          <w:iCs/>
          <w:color w:val="000000"/>
          <w:sz w:val="22"/>
          <w:szCs w:val="22"/>
        </w:rPr>
        <w:t>Submission Date: May 5, 2026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b5e20"/>
          <w:sz w:val="30"/>
          <w:szCs w:val="30"/>
        </w:rPr>
        <w:t>1. Requirement Analysis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d32"/>
          <w:sz w:val="24"/>
          <w:szCs w:val="24"/>
        </w:rPr>
        <w:t>1.1 Project Overview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Eco-Track is a Supply Chain Carbon Management System designed to help organizations monitor, analyze, and reduce their carbon emissions across the entire supply chain. Eco-Track provides an integrated platform for real-time emission tracking, supplier evaluation, carbon offset management, and regulatory compliance reporting.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d32"/>
          <w:sz w:val="24"/>
          <w:szCs w:val="24"/>
        </w:rPr>
        <w:t>1.2 Main Objectives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Track and record carbon emissions from all supply chain activities including transportation, warehousing, manufacturing, and procurement.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Enable companies to monitor supplier sustainability performance and carbon footprint contributions.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Provide advanced analytics and reporting for regulatory compliance (GHG Protocol, ISO 14064, EU CSRD).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Facilitate carbon offset and credit management to support net-zero targets.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Support multi-user access with role-based permissions for different organizational levels.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d32"/>
          <w:sz w:val="24"/>
          <w:szCs w:val="24"/>
        </w:rPr>
        <w:t xml:space="preserve">1.3 User Types and Information Needs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2122"/>
        <w:gridCol w:w="2315"/>
        <w:gridCol w:w="4593"/>
      </w:tblGrid>
      <w:tr>
        <w:tc>
          <w:tcPr>
            <w:tcW w:w="2122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1b5e2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0"/>
                <w:szCs w:val="20"/>
              </w:rPr>
              <w:t>User Type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15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1b5e2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0"/>
                <w:szCs w:val="20"/>
              </w:rPr>
              <w:t>Description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93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1b5e2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0"/>
                <w:szCs w:val="20"/>
              </w:rPr>
              <w:t>Information Needs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22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System Administrator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15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Manages users, system config, and data integrity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93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User management, system logs, database backups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22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Sustainability Manager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15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Oversees carbon strategy and reporting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93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Aggregate emission reports, trend analysis, compliance status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22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Supply Chain Analyst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15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Analyzes supplier and logistics data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93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Supplier emission scores, transportation data, benchmarks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22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Supplier (External)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15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Reports their own emission data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93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Emission submission forms, verification status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22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Executive / Viewer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15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Reviews high-level dashboards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93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KPI summaries, carbon reduction progress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d32"/>
          <w:sz w:val="24"/>
          <w:szCs w:val="24"/>
        </w:rPr>
        <w:t>1.4 Problems the System Aims to Solve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Fragmented data: Carbon data is scattered across spreadsheets and ERP systems with no unified view.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Lack of supplier visibility: Companies have limited insight into upstream Scope 3 emissions.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Compliance risk: EU CSRD and SEC climate rules demand accurate, auditable GHG reporting.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Inefficient offset tracking: Carbon credit purchases are difficult to reconcile with emission reductions.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No predictive capability: Without historical analysis, companies cannot forecast emission trends.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d32"/>
          <w:sz w:val="24"/>
          <w:szCs w:val="24"/>
        </w:rPr>
        <w:t>1.5 Key Data Attributes and Relationships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Companies and their organizational hierarchy (subsidiaries, divisions, facilities).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Emission activities: type (Scope 1/2/3), source, quantity, emission factor, calculated CO2e.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Suppliers: profile, sustainability rating, submitted emission data, verification status.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Supply chain transactions: shipments, freight modes, distances, fuel consumption.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Carbon offsets: project name, certification body, credits purchased, credits retired.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Regulatory frameworks and compliance targets per period.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d32"/>
          <w:sz w:val="24"/>
          <w:szCs w:val="24"/>
        </w:rPr>
        <w:t>1.6 Advanced Database Queries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Query 1 – Monthly Emission Trend Analysis: </w:t>
      </w:r>
      <w:r>
        <w:rPr>
          <w:rFonts w:ascii="Arial" w:hAnsi="Arial" w:cs="Arial" w:eastAsia="Arial"/>
          <w:color w:val="000000"/>
          <w:sz w:val="22"/>
          <w:szCs w:val="22"/>
        </w:rPr>
        <w:t>Total CO2e per company per month with month-over-month % change.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Query 2 – Top Supplier Carbon Risk Ranking: </w:t>
      </w:r>
      <w:r>
        <w:rPr>
          <w:rFonts w:ascii="Arial" w:hAnsi="Arial" w:cs="Arial" w:eastAsia="Arial"/>
          <w:color w:val="000000"/>
          <w:sz w:val="22"/>
          <w:szCs w:val="22"/>
        </w:rPr>
        <w:t>Rank suppliers by Scope 3 contribution using RANK() window function.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Query 3 – Carbon Offset vs. Net Emission Balance: </w:t>
      </w:r>
      <w:r>
        <w:rPr>
          <w:rFonts w:ascii="Arial" w:hAnsi="Arial" w:cs="Arial" w:eastAsia="Arial"/>
          <w:color w:val="000000"/>
          <w:sz w:val="22"/>
          <w:szCs w:val="22"/>
        </w:rPr>
        <w:t>Quarterly gross emissions vs. retired credits showing net balance.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Query 4 – Regulatory Compliance Status Report: </w:t>
      </w:r>
      <w:r>
        <w:rPr>
          <w:rFonts w:ascii="Arial" w:hAnsi="Arial" w:cs="Arial" w:eastAsia="Arial"/>
          <w:color w:val="000000"/>
          <w:sz w:val="22"/>
          <w:szCs w:val="22"/>
        </w:rPr>
        <w:t>Target vs. actual CO2e per framework with over-target percentage.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Query 5 – Transport Mode Emission Comparison: </w:t>
      </w:r>
      <w:r>
        <w:rPr>
          <w:rFonts w:ascii="Arial" w:hAnsi="Arial" w:cs="Arial" w:eastAsia="Arial"/>
          <w:color w:val="000000"/>
          <w:sz w:val="22"/>
          <w:szCs w:val="22"/>
        </w:rPr>
        <w:t>CO2e per tonne-km across road, sea, air, rail, inland waterway.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Query 6 – Emission Intensity by Product Category: </w:t>
      </w:r>
      <w:r>
        <w:rPr>
          <w:rFonts w:ascii="Arial" w:hAnsi="Arial" w:cs="Arial" w:eastAsia="Arial"/>
          <w:color w:val="000000"/>
          <w:sz w:val="22"/>
          <w:szCs w:val="22"/>
        </w:rPr>
        <w:t>Carbon intensity (CO2e per unit) grouped by product category and supplier.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Query 7 – Supplier Emission Verification Lag: </w:t>
      </w:r>
      <w:r>
        <w:rPr>
          <w:rFonts w:ascii="Arial" w:hAnsi="Arial" w:cs="Arial" w:eastAsia="Arial"/>
          <w:color w:val="000000"/>
          <w:sz w:val="22"/>
          <w:szCs w:val="22"/>
        </w:rPr>
        <w:t>Suppliers who have not submitted emission data with days past deadline.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b5e20"/>
          <w:sz w:val="30"/>
          <w:szCs w:val="30"/>
        </w:rPr>
        <w:t>2. Entity-Relationship (E/R) Design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d32"/>
          <w:sz w:val="24"/>
          <w:szCs w:val="24"/>
        </w:rPr>
        <w:t>2.1 Identified Entities and Attributes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2118"/>
        <w:gridCol w:w="4344"/>
        <w:gridCol w:w="2567"/>
      </w:tblGrid>
      <w:tr>
        <w:tc>
          <w:tcPr>
            <w:tcW w:w="2118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1b5e2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0"/>
                <w:szCs w:val="20"/>
              </w:rPr>
              <w:t>Entity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44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1b5e2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0"/>
                <w:szCs w:val="20"/>
              </w:rPr>
              <w:t>Key Attributes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67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1b5e2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0"/>
                <w:szCs w:val="20"/>
              </w:rPr>
              <w:t>Primary Key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18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Company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44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company_id, name, industry, country, tax_id, founded_year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67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company_id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18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Facility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44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facility_id, company_id, name, location, facility_type, size_sqm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67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facility_id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18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User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44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user_id, company_id, email, password_hash, role, full_name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67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user_id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18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Supplier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44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supplier_id, name, country, sustainability_rating, verified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67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supplier_id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18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EmissionActivity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44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activity_id, facility_id, supplier_id, scope, co2e_kg, activity_date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67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activity_id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18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Shipment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44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shipment_id, supplier_id, company_id, transport_mode, co2e_kg, shipment_date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67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shipment_id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18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CarbonOffset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44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offset_id, company_id, project_name, credits_purchased, credits_retired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67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offset_id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18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RegulatoryFramework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44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framework_id, name, jurisdiction, target_year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67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framework_id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18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ComplianceRecord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44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record_id, company_id, framework_id, reporting_period, status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67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record_id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18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AuditLog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44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log_id, user_id, action, table_name, timestamp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67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log_id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d32"/>
          <w:sz w:val="24"/>
          <w:szCs w:val="24"/>
        </w:rPr>
        <w:t>2.2 Relationships and Cardinalities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Company HAS MANY Facilities (1:N) – A company operates one or more facilities.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Company HAS MANY Users (1:N) – Users belong to one company.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Company HAS MANY Suppliers (M:N via SupplierRelationship) – A company works with multiple suppliers.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Facility RECORDS MANY EmissionActivities (1:N) – Emission events are tied to a facility.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Supplier CONTRIBUTES TO EmissionActivities (1:N) – Scope 3 activities linked to a supplier.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Company PURCHASES MANY CarbonOffsets (1:N) – Carbon credits are purchased by a company.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Company HAS MANY ComplianceRecords (1:N) – Each company tracks compliance against frameworks.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RegulatoryFramework GOVERNS MANY ComplianceRecords (1:N).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Shipment involves SUPPLIER and COMPANY (M:N resolved as Shipment entity).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User GENERATES AuditLog entries (1:N) – All user actions are logged.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d32"/>
          <w:sz w:val="24"/>
          <w:szCs w:val="24"/>
        </w:rPr>
        <w:t>2.3 E/R Diagram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407266" cy="3251312"/>
            <wp:docPr id="0" name="Drawing 0" descr="ef2691ea22064f7caaab9f815458d0d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f2691ea22064f7caaab9f815458d0dc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407266" cy="325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888888"/>
          <w:sz w:val="22"/>
          <w:szCs w:val="22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b5e20"/>
          <w:sz w:val="30"/>
          <w:szCs w:val="30"/>
        </w:rPr>
        <w:t>3. Relational Database Schema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d32"/>
          <w:sz w:val="24"/>
          <w:szCs w:val="24"/>
        </w:rPr>
        <w:t>3.1 Schema Overview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The E/R diagram was mapped to the following relational schema using the standard mapping rules covered in class. All M:N relationships are resolved into junction tables. Foreign key and NOT NULL constraints are applied where appropriate.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d32"/>
          <w:sz w:val="24"/>
          <w:szCs w:val="24"/>
        </w:rPr>
        <w:t>3.2 Relational Schema Diagram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07501" cy="4266404"/>
            <wp:docPr id="1" name="Drawing 1" descr="79150ae8c24531975b4e96cf335e15c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9289b7a991abbf781bc7a94d98eec56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07501" cy="426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888888"/>
          <w:sz w:val="22"/>
          <w:szCs w:val="22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e7d32"/>
          <w:sz w:val="24"/>
          <w:szCs w:val="24"/>
        </w:rPr>
        <w:t>3.3 Schema Description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2121"/>
        <w:gridCol w:w="2700"/>
        <w:gridCol w:w="4206"/>
      </w:tblGrid>
      <w:tr>
        <w:tc>
          <w:tcPr>
            <w:tcW w:w="2121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1b5e2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0"/>
                <w:szCs w:val="20"/>
              </w:rPr>
              <w:t>Table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00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1b5e2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0"/>
                <w:szCs w:val="20"/>
              </w:rPr>
              <w:t>References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206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1b5e2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20"/>
                <w:szCs w:val="20"/>
              </w:rPr>
              <w:t>Notes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21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company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00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–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206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Root entity; all other tables reference this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21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facility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00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company(company_id)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206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Physical locations of a company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21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app_user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00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company(company_id)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206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Named app_user to avoid SQL reserved word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21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supplier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00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–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206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Supplier profile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21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supplier_relationship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00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company + supplier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206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M:N junction table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21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emission_activity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00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facility + supplier + app_user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206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Core fact table; scope 1/2/3 entries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21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shipment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00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supplier + company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206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Logistics emission events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21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carbon_offset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00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company(company_id)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206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Carbon credit records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21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regulatory_framework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00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–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206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Reference data for regulations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21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compliance_record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00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company + regulatory_framework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206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Tracks target vs actual per period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21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audit_log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00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app_user(user_id)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206" w:type="dxa"/>
            <w:tcBorders>
              <w:top w:color="cccccc" w:sz="2" w:val="single"/>
              <w:start w:color="cccccc" w:sz="2" w:val="single"/>
              <w:bottom w:color="cccccc" w:sz="2" w:val="single"/>
              <w:end w:color="cccccc" w:sz="2" w:val="single"/>
            </w:tcBorders>
            <w:shd w:val="clear" w:color="auto" w:fill="f1f8e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Full audit trail of all changes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b5e20"/>
          <w:sz w:val="30"/>
          <w:szCs w:val="30"/>
        </w:rPr>
        <w:t xml:space="preserve">System Functionalities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The Eco-Track system is designed as a multi-tier database application that enables comprehensive carbon footprint management across a complex supply chain. The core functionalities are categorized as follows: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1b5e20"/>
          <w:sz w:val="28"/>
          <w:szCs w:val="28"/>
        </w:rPr>
        <w:t xml:space="preserve"> Core Database Operations (CRUD)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The application provides a robust Graphical User Interface (GUI) to perform essential Create, Read, Update, and Delete operations on the following entities, ensuring referential integrity at the database level: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7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Company &amp; Facility Management: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 Internal users can define organizational hierarchies and physical locations where emission events occur.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7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Supplier Onboarding: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 Allows the system to register and maintain profiles for external partners, including their base sustainability ratings.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7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Emission Activity Logging: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 The central fact table where Scope 1, 2, and 3 activities are recorded with precise timestamps and categorical data.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1b5e20"/>
          <w:sz w:val="28"/>
          <w:szCs w:val="28"/>
        </w:rPr>
        <w:t xml:space="preserve"> Advanced Analytical Reporting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Beyond basic data entry, the system leverages complex SQL queries to provide strategic insights for decision-makers: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27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Time-Series Emission Tracking: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 Using window functions (e.g., LAG, SUM OVER), the system visualizes monthly and quarterly emission trends, allowing Sustainability Managers to monitor net-zero progress.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27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Supplier Risk Assessment: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 Employs ranking algorithms to identify high-polluting suppliers, enabling Supply Chain Analysts to optimize the vendor pool based on carbon intensity.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27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Regulatory Compliance Monitoring: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 Automatically compares actual emission data against predefined targets in the compliance_record table, generating "Status Reports" for frameworks like EU CSRD. </w:t>
      </w:r>
      <w:r>
        <w:rPr>
          <w:rFonts w:ascii="Arial" w:hAnsi="Arial" w:cs="Arial" w:eastAsia="Arial"/>
          <w:color w:val="1b5e20"/>
          <w:sz w:val="20"/>
          <w:szCs w:val="20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1b5e20"/>
          <w:sz w:val="28"/>
          <w:szCs w:val="28"/>
        </w:rPr>
        <w:t xml:space="preserve"> User Authentication and Role-Based Access Control (RBAC)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To ensure data security and accountability, the system implements a strict authorization layer: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27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Role-Specific Dashboards: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 System Admins, Managers, Analysts, and Suppliers each access a tailored interface with permissions restricted to their functional scope.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27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Data Validation &amp; Integrity: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 Every data entry is validated against database constraints (e.g., CHECK for scope types, NOT NULL for critical IDs) to prevent corrupted data entry.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276" w:lineRule="auto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Audit Logging: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 Every critical transaction is recorded in the audit_log table, providing a full history of "who changed what and when," which is essential for environmental auditing.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27302</wp:posOffset>
            </wp:positionH>
            <wp:positionV relativeFrom="paragraph">
              <wp:posOffset>0</wp:posOffset>
            </wp:positionV>
            <wp:extent cx="7508246" cy="2965820"/>
            <wp:wrapTopAndBottom/>
            <wp:docPr id="2" name="Drawing 2" descr="64196b513cef999b4091e28eb3a0093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441a9ec0c8d5a07d6851559e271ad23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508246" cy="296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55890</wp:posOffset>
            </wp:positionH>
            <wp:positionV relativeFrom="paragraph">
              <wp:posOffset>0</wp:posOffset>
            </wp:positionV>
            <wp:extent cx="7451071" cy="3855754"/>
            <wp:wrapTopAndBottom/>
            <wp:docPr id="3" name="Drawing 3" descr="ec7ccdb5d5160dc3b3131b2e00e6f6d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cf19da242608c7ca36a5ff2706a2477.png"/>
                    <pic:cNvPicPr>
                      <a:picLocks noChangeAspect="true"/>
                    </pic:cNvPicPr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451071" cy="3855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0"/>
          <w:szCs w:val="20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55890</wp:posOffset>
            </wp:positionH>
            <wp:positionV relativeFrom="paragraph">
              <wp:posOffset>0</wp:posOffset>
            </wp:positionV>
            <wp:extent cx="7451071" cy="3865282"/>
            <wp:wrapTopAndBottom/>
            <wp:docPr id="4" name="Drawing 4" descr="6bf55d85c140e887cd93a0c0885224f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669458e2e853b8fe024c62c7fc5b0763.png"/>
                    <pic:cNvPicPr>
                      <a:picLocks noChangeAspect="true"/>
                    </pic:cNvPicPr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451071" cy="3865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55890</wp:posOffset>
            </wp:positionH>
            <wp:positionV relativeFrom="paragraph">
              <wp:posOffset>0</wp:posOffset>
            </wp:positionV>
            <wp:extent cx="7451071" cy="3865282"/>
            <wp:wrapTopAndBottom/>
            <wp:docPr id="5" name="Drawing 5" descr="84a41a679872f09e414e0929ee4d44a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95850a20c5270f6af9b3f46c9c36b407.png"/>
                    <pic:cNvPicPr>
                      <a:picLocks noChangeAspect="true"/>
                    </pic:cNvPicPr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451071" cy="3865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0"/>
          <w:szCs w:val="20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1b5e20"/>
          <w:sz w:val="20"/>
          <w:szCs w:val="20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55890</wp:posOffset>
            </wp:positionH>
            <wp:positionV relativeFrom="paragraph">
              <wp:posOffset>0</wp:posOffset>
            </wp:positionV>
            <wp:extent cx="7451071" cy="3874811"/>
            <wp:wrapTopAndBottom/>
            <wp:docPr id="6" name="Drawing 6" descr="b3706d296270598532d7f7e3a5a64df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62733fbee2413730f2a2b628dfe828d0.png"/>
                    <pic:cNvPicPr>
                      <a:picLocks noChangeAspect="true"/>
                    </pic:cNvPicPr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451071" cy="3874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1b5e20"/>
          <w:sz w:val="20"/>
          <w:szCs w:val="20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3866515"/>
            <wp:wrapTopAndBottom/>
            <wp:docPr id="7" name="Drawing 7" descr="b57bccac658b2666c8968d46c097025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57c05a66d7ba44f5af62c5441f3bbe91.png"/>
                    <pic:cNvPicPr>
                      <a:picLocks noChangeAspect="true"/>
                    </pic:cNvPicPr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56285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1b5e20"/>
          <w:sz w:val="20"/>
          <w:szCs w:val="20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1b5e20"/>
          <w:sz w:val="20"/>
          <w:szCs w:val="20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1b5e20"/>
          <w:sz w:val="20"/>
          <w:szCs w:val="20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17773</wp:posOffset>
            </wp:positionH>
            <wp:positionV relativeFrom="paragraph">
              <wp:posOffset>0</wp:posOffset>
            </wp:positionV>
            <wp:extent cx="7527304" cy="3923726"/>
            <wp:wrapTopAndBottom/>
            <wp:docPr id="8" name="Drawing 8" descr="3c2602c290ca538ae2b27b9e326f603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2650f65f69b6b5e7d69dcddd12abd89.png"/>
                    <pic:cNvPicPr>
                      <a:picLocks noChangeAspect="true"/>
                    </pic:cNvPicPr>
                  </pic:nvPicPr>
                  <pic:blipFill>
                    <a:blip r:embed="rId12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527304" cy="3923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1b5e20"/>
          <w:sz w:val="20"/>
          <w:szCs w:val="20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1b5e20"/>
          <w:sz w:val="20"/>
          <w:szCs w:val="20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1b5e20"/>
          <w:sz w:val="20"/>
          <w:szCs w:val="20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1b5e20"/>
          <w:sz w:val="20"/>
          <w:szCs w:val="20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b5e20"/>
          <w:sz w:val="30"/>
          <w:szCs w:val="30"/>
        </w:rPr>
        <w:t xml:space="preserve">Challenges &amp; Improvements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1b5e20"/>
          <w:sz w:val="20"/>
          <w:szCs w:val="20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We addressed several key functional challenges to ensure system reliability and data integrity. One primary obstacle was managing 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data granularity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, where we had to store high-fidelity daily records while dynamically aggregating them into quarterly reports using SQL window functions. Furthermore, establishing 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Scope 3 data integrity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 required designing a secure, restricted portal for external suppliers to ensure consistent data entry without compromising internal security. We also tackled the complexity of 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dynamic sustainability ratings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, shifting from static storage to real-time calculations based on live emission activities. Finally, implementing a robust 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Role-Based Access Control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 was essential to manage complex approval workflows between Analysts and Sustainability Managers, ensuring every entry undergoes a "four-eyes" verification process before being reflected in official reports.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1b5e20"/>
          <w:sz w:val="20"/>
          <w:szCs w:val="20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b5e20"/>
          <w:sz w:val="30"/>
          <w:szCs w:val="30"/>
        </w:rPr>
        <w:t>Conclusion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This project successfully demonstrated the design and implementation of a comprehensive, RDBMS-driven carbon management system capable of handling complex supply chain emission data. By mapping raw environmental activities into a structured relational schema and managing a dataset exceeding 5,000 records, we ensured both data integrity and high-performance retrieval. The implementation of advanced analytical queries proved that the system goes beyond simple data storage, providing actionable insights through monthly trend analysis and supplier risk rankings. Ultimately, 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Eco-Track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 serves as a robust prototype for real-world environmental monitoring, highlighting the critical role of database management in achieving global sustainability goals. 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b5e20"/>
          <w:sz w:val="30"/>
          <w:szCs w:val="30"/>
        </w:rPr>
        <w:t xml:space="preserve">AI Use Statement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b5e20"/>
          <w:sz w:val="30"/>
          <w:szCs w:val="30"/>
        </w:rPr>
        <w:t xml:space="preserve"> </w:t>
      </w:r>
      <w:r>
        <w:rPr>
          <w:rFonts w:ascii="Arial Bold" w:hAnsi="Arial Bold" w:cs="Arial Bold" w:eastAsia="Arial Bold"/>
          <w:b/>
          <w:bCs/>
          <w:color w:val="1b5e20"/>
          <w:sz w:val="28"/>
          <w:szCs w:val="28"/>
        </w:rPr>
        <w:t xml:space="preserve">Tool(s) Used: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GitHub Copilot (powered by Claude Sonnet 4.6) — accessed via the VS Code editor extension.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1b5e2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b5e20"/>
          <w:sz w:val="28"/>
          <w:szCs w:val="28"/>
        </w:rPr>
        <w:t xml:space="preserve">What It Was Used For: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Brainstorming and refining the relational schema design (table relationships, FK constraints)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Generating boilerplate TypeScript/Express route handlers and React component structure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Debugging runtime errors (e.g., JWT token staleness, PostgreSQL FK cascade violations, route shadowing)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Drafting SQL queries (window functions, LAG, RANK) and reviewing their logic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Suggesting fixes for Docker Compose configuration and container networking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b5e20"/>
          <w:sz w:val="28"/>
          <w:szCs w:val="28"/>
        </w:rPr>
        <w:t xml:space="preserve">Key Prompts / Questions Asked (Summarized):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1b5e2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"How should I structure the supplier_relationship table to support many-to-many company-supplier links?"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"Why is my admin getting 403 on approve/reject even though the role is correct?" → led to the stale JWT discovery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"Generate a React modal component with a facility dropdown that fetches from /companies/:id"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"Why does my DELETE /companies/:id fail with FK violation?" → identified missing cascade on shipment, carbon_offset, compliance_record tables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b5e20"/>
          <w:sz w:val="28"/>
          <w:szCs w:val="28"/>
        </w:rPr>
        <w:t xml:space="preserve">What Was Changed / Verified Afterwards: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TypeScript code was reviewed for type correctness and adjusted to match the project's existing type definitions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Route logic was manually traced through the middleware chain to verify authentication and authorization behavior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SQL query results were verified against known seed data to confirm correctness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Arial Italics">
    <w:panose1 w:val="020B0604020202090204"/>
    <w:charset w:characterSet="1"/>
  </w:font>
  <w:font w:name="Arial">
    <w:panose1 w:val="020B0604020202020204"/>
    <w:charset w:characterSet="1"/>
  </w:font>
  <w:font w:name="Arial Bold">
    <w:panose1 w:val="020B0704020202020204"/>
    <w:charset w:characterSet="1"/>
  </w:font>
  <w:font w:name="Aptos Italics">
    <w:panose1 w:val="020B0004020202090204"/>
    <w:charset w:characterSet="1"/>
  </w:font>
  <w:font w:name="Aptos">
    <w:panose1 w:val="020B0004020202020204"/>
    <w:charset w:characterSet="1"/>
  </w:font>
  <w:font w:name="Aptos Bold Italics">
    <w:panose1 w:val="020B0004020202090204"/>
    <w:charset w:characterSet="1"/>
  </w:font>
  <w:font w:name="Aptos Bold">
    <w:panose1 w:val="020B000402020202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2026-05-03T19:36:09Z</dcterms:created>
  <dc:creator>Apache POI</dc:creator>
  <dc:title>EcoTrack_FinalReport.docx</dc:title>
</cp:coreProperties>
</file>