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Economic Prosperity and Football Success: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 Comparative Study of Turkey &amp; England (1993–2024)</w:t>
      </w:r>
    </w:p>
    <w:p>
      <w:pPr>
        <w:spacing w:after="400"/>
        <w:jc w:val="center"/>
      </w:pPr>
      <w:r>
        <w:rPr>
          <w:rFonts w:ascii="Arial" w:cs="Arial" w:eastAsia="Arial" w:hAnsi="Arial"/>
          <w:sz w:val="22"/>
          <w:szCs w:val="22"/>
        </w:rPr>
        <w:t xml:space="preserve">Muhammed Mustafa Güneş – 34313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Motivation: 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Turkish football history features iconic peaks — Galatasaray's 2000 UEFA Cup and Super Cup, Beşiktaş becoming the first and only Turkish club to top their Champions League group stage unbeaten (2017–18), and the national team's historic 3rd-place finish at the 2002 World Cup. Each of these achievements coincided with periods of relative macroeconomic stability in Turkey, raising a core question: does economic health act as a catalyst for international football success? This project investigates whether macroeconomic indicators — exchange rates, GDP growth, and CPI inflation — are statistically associated with Turkish clubs' UEFA coefficient performance and the national team's FIFA ranking. England's Premier League Big 6 and national team are incorporated as a structural counterpoint, enabling a cross-country comparison and increasing statistical power for machine learning.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Sources &amp; Collection: 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 categories of data are used: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Economic Indicators: USD/TRY half-year average exchange rates from the Central Bank of Turkey (TCMB EVDS); GBP/USD from the Bank of England; annual GDP growth rates and CPI inflation for both Turkey and England from World Bank Open Data (indicators NY.GDP.MKTP.KD.ZG and FP.CPI.TOTL.ZG).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Football Performance: Per-club half-year UEFA coefficient points for Galatasaray, Fenerbahçe, Beşiktaş, and Trabzonspor (Turkey) and the Premier League Big 6 (England), reconstructed from UEFA.com and kassiesa.net/uefa/coeff; bi-annual FIFA World Ranking snapshots for both national teams from FIFA's historical archive.</w:t>
      </w:r>
    </w:p>
    <w:p>
      <w:pPr>
        <w:spacing w:after="100"/>
      </w:pP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Characteristics: 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dataset covers 31 years (1993–2024) with half-year granularity (H1: January–June; H2: July–December), yielding 64 observations per country and a combined dataset of 128 rows for machine learning. A composite Economic Health Index (0–1 scale) is constructed by min-max normalising and averaging the three economic indicators, with exchange rate and inflation inverted so that higher index = better economic conditions.</w:t>
      </w:r>
    </w:p>
    <w:p>
      <w:pPr>
        <w:spacing w:after="1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Methodology: 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analysis follows four phases. First, exploratory data analysis with time-series visualisations and dual-axis overlays of economic and football metrics. Second, formal hypothesis testing using one-tailed Pearson correlation (H₁: ρ &gt; 0, α = 0.05) and Spearman ρ as a non-parametric backup, with D'Agostino K² normality checks. Third, OLS regression of total club UEFA points on the three economic predictors jointly, to quantify combined explanatory power (R²). Fourth, machine learning: K-Means clustering (elbow method) and PCA for unsupervised era identification, and three supervised classifiers (Logistic Regression, Random Forest, Gradient Boosting) with 5-fold stratified cross-validation to classify high- versus low-performance periods from economic features alone. All code is written in Python using pandas, scipy, statsmodels, and scikit-learn.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2026-05-19T11:39:38.230Z</dcterms:created>
  <dcterms:modified xsi:type="dcterms:W3CDTF">2026-05-19T11:39:38.230Z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