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8EF43" w14:textId="0C746DE5" w:rsidR="00E17810" w:rsidRPr="00EB0C75" w:rsidRDefault="00091C2D" w:rsidP="00F27FD1">
      <w:pPr>
        <w:shd w:val="clear" w:color="auto" w:fill="FFFFFF"/>
        <w:ind w:left="1584" w:hanging="1584"/>
        <w:jc w:val="center"/>
        <w:rPr>
          <w:rFonts w:ascii="Bookman Old Style" w:hAnsi="Bookman Old Style"/>
        </w:rPr>
      </w:pPr>
      <w:r>
        <w:rPr>
          <w:rFonts w:ascii="Bookman Old Style" w:hAnsi="Bookman Old Style"/>
          <w:b/>
          <w:sz w:val="68"/>
          <w:szCs w:val="68"/>
        </w:rPr>
        <w:t xml:space="preserve">Project </w:t>
      </w:r>
      <w:r w:rsidR="0054152A" w:rsidRPr="00EB0C75">
        <w:rPr>
          <w:rFonts w:ascii="Bookman Old Style" w:hAnsi="Bookman Old Style"/>
          <w:b/>
          <w:sz w:val="68"/>
          <w:szCs w:val="68"/>
        </w:rPr>
        <w:t>Synopsis</w:t>
      </w:r>
    </w:p>
    <w:p w14:paraId="569F8487" w14:textId="77777777" w:rsidR="00E17810" w:rsidRPr="00EB0C75" w:rsidRDefault="0054152A" w:rsidP="00F27FD1">
      <w:pPr>
        <w:shd w:val="clear" w:color="auto" w:fill="FFFFFF"/>
        <w:spacing w:line="298" w:lineRule="auto"/>
        <w:ind w:right="29"/>
        <w:jc w:val="center"/>
        <w:rPr>
          <w:rFonts w:ascii="Bookman Old Style" w:hAnsi="Bookman Old Style"/>
        </w:rPr>
      </w:pPr>
      <w:r w:rsidRPr="00EB0C75">
        <w:rPr>
          <w:rFonts w:ascii="Bookman Old Style" w:hAnsi="Bookman Old Style"/>
          <w:sz w:val="70"/>
          <w:szCs w:val="70"/>
          <w:vertAlign w:val="subscript"/>
        </w:rPr>
        <w:t>for</w:t>
      </w:r>
    </w:p>
    <w:p w14:paraId="22DAB7E8" w14:textId="4AFB6FBD" w:rsidR="00E17810" w:rsidRPr="009B7FAD" w:rsidRDefault="009B7FAD" w:rsidP="00F27FD1">
      <w:pPr>
        <w:jc w:val="center"/>
        <w:rPr>
          <w:rFonts w:ascii="Bookman Old Style" w:hAnsi="Bookman Old Style"/>
          <w:b/>
        </w:rPr>
      </w:pPr>
      <w:r w:rsidRPr="009B7FAD">
        <w:rPr>
          <w:rFonts w:ascii="Bookman Old Style" w:hAnsi="Bookman Old Style"/>
          <w:b/>
          <w:sz w:val="52"/>
          <w:szCs w:val="52"/>
        </w:rPr>
        <w:t>Identity Security Framework for Supply Chain</w:t>
      </w:r>
    </w:p>
    <w:p w14:paraId="3BCDF66E" w14:textId="77777777" w:rsidR="00E17810" w:rsidRPr="00EB0C75" w:rsidRDefault="00E17810" w:rsidP="00F27FD1">
      <w:pPr>
        <w:jc w:val="center"/>
        <w:rPr>
          <w:rFonts w:ascii="Bookman Old Style" w:hAnsi="Bookman Old Style"/>
          <w:b/>
          <w:sz w:val="30"/>
          <w:szCs w:val="30"/>
        </w:rPr>
      </w:pPr>
    </w:p>
    <w:p w14:paraId="5AF9A5D6" w14:textId="4FE74989" w:rsidR="00E17810" w:rsidRPr="00EB0C75" w:rsidRDefault="009B7FAD" w:rsidP="00F27FD1">
      <w:pPr>
        <w:jc w:val="center"/>
        <w:rPr>
          <w:rFonts w:ascii="Bookman Old Style" w:hAnsi="Bookman Old Style"/>
        </w:rPr>
      </w:pPr>
      <w:r w:rsidRPr="009B7FAD">
        <w:rPr>
          <w:rFonts w:ascii="Bookman Old Style" w:hAnsi="Bookman Old Style"/>
          <w:b/>
          <w:sz w:val="30"/>
          <w:szCs w:val="30"/>
        </w:rPr>
        <w:t>Mohammed Nazin</w:t>
      </w:r>
      <w:r>
        <w:rPr>
          <w:rFonts w:ascii="Bookman Old Style" w:hAnsi="Bookman Old Style"/>
          <w:b/>
          <w:sz w:val="30"/>
          <w:szCs w:val="30"/>
        </w:rPr>
        <w:br/>
      </w:r>
      <w:r>
        <w:rPr>
          <w:rFonts w:ascii="Bookman Old Style" w:hAnsi="Bookman Old Style"/>
        </w:rPr>
        <w:t>23BCCED017</w:t>
      </w:r>
      <w:r>
        <w:rPr>
          <w:rFonts w:ascii="Bookman Old Style" w:hAnsi="Bookman Old Style"/>
        </w:rPr>
        <w:br/>
      </w:r>
    </w:p>
    <w:p w14:paraId="365BE353" w14:textId="13C38C3A" w:rsidR="00E17810" w:rsidRPr="00EB0C75" w:rsidRDefault="009B7FAD" w:rsidP="00F27FD1">
      <w:pPr>
        <w:jc w:val="center"/>
        <w:rPr>
          <w:rFonts w:ascii="Bookman Old Style" w:hAnsi="Bookman Old Style"/>
        </w:rPr>
      </w:pPr>
      <w:r>
        <w:rPr>
          <w:rFonts w:ascii="Bookman Old Style" w:hAnsi="Bookman Old Style"/>
        </w:rPr>
        <w:t xml:space="preserve">BCA in Cyber Security, Ethical Hacking &amp; Digital </w:t>
      </w:r>
      <w:proofErr w:type="spellStart"/>
      <w:r>
        <w:rPr>
          <w:rFonts w:ascii="Bookman Old Style" w:hAnsi="Bookman Old Style"/>
        </w:rPr>
        <w:t>Foreignsic</w:t>
      </w:r>
      <w:proofErr w:type="spellEnd"/>
      <w:r>
        <w:rPr>
          <w:rFonts w:ascii="Bookman Old Style" w:hAnsi="Bookman Old Style"/>
        </w:rPr>
        <w:t xml:space="preserve"> with IBM</w:t>
      </w:r>
      <w:r>
        <w:rPr>
          <w:rFonts w:ascii="Bookman Old Style" w:hAnsi="Bookman Old Style"/>
        </w:rPr>
        <w:br/>
      </w:r>
    </w:p>
    <w:p w14:paraId="7E2CC628" w14:textId="417DD790" w:rsidR="00E17810" w:rsidRPr="00EB0C75" w:rsidRDefault="009B7FAD" w:rsidP="00F27FD1">
      <w:pPr>
        <w:jc w:val="center"/>
        <w:rPr>
          <w:rFonts w:ascii="Bookman Old Style" w:hAnsi="Bookman Old Style"/>
        </w:rPr>
      </w:pPr>
      <w:proofErr w:type="spellStart"/>
      <w:r>
        <w:rPr>
          <w:rFonts w:ascii="Bookman Old Style" w:hAnsi="Bookman Old Style"/>
        </w:rPr>
        <w:t>Yenepoya</w:t>
      </w:r>
      <w:proofErr w:type="spellEnd"/>
      <w:r>
        <w:rPr>
          <w:rFonts w:ascii="Bookman Old Style" w:hAnsi="Bookman Old Style"/>
        </w:rPr>
        <w:t xml:space="preserve"> Institute of Arts, Science, Commerce and Management</w:t>
      </w:r>
    </w:p>
    <w:p w14:paraId="16BAF906" w14:textId="76FCFD02" w:rsidR="00E17810" w:rsidRPr="00EB0C75" w:rsidRDefault="009B7FAD" w:rsidP="00F27FD1">
      <w:pPr>
        <w:jc w:val="center"/>
        <w:rPr>
          <w:rFonts w:ascii="Bookman Old Style" w:hAnsi="Bookman Old Style"/>
        </w:rPr>
      </w:pPr>
      <w:r>
        <w:rPr>
          <w:rFonts w:ascii="Bookman Old Style" w:hAnsi="Bookman Old Style"/>
        </w:rPr>
        <w:t>Mangalore</w:t>
      </w:r>
      <w:r>
        <w:rPr>
          <w:rFonts w:ascii="Bookman Old Style" w:hAnsi="Bookman Old Style"/>
        </w:rPr>
        <w:br/>
      </w:r>
    </w:p>
    <w:p w14:paraId="1DF024D6" w14:textId="3114DF92" w:rsidR="00E17810" w:rsidRPr="00EB0C75" w:rsidRDefault="009B7FAD" w:rsidP="00F27FD1">
      <w:pPr>
        <w:jc w:val="center"/>
        <w:rPr>
          <w:rFonts w:ascii="Bookman Old Style" w:hAnsi="Bookman Old Style"/>
        </w:rPr>
      </w:pPr>
      <w:r>
        <w:rPr>
          <w:rFonts w:ascii="Bookman Old Style" w:hAnsi="Bookman Old Style"/>
        </w:rPr>
        <w:t>11-04-2026</w:t>
      </w:r>
    </w:p>
    <w:p w14:paraId="20C1EE6D" w14:textId="77777777" w:rsidR="00E17810" w:rsidRPr="00EB0C75" w:rsidRDefault="00E17810" w:rsidP="00F27FD1">
      <w:pPr>
        <w:jc w:val="center"/>
        <w:rPr>
          <w:rFonts w:ascii="Bookman Old Style" w:hAnsi="Bookman Old Style"/>
          <w:b/>
        </w:rPr>
      </w:pPr>
    </w:p>
    <w:p w14:paraId="4AE4866B" w14:textId="77777777" w:rsidR="00E17810" w:rsidRPr="00EB0C75" w:rsidRDefault="00E17810" w:rsidP="00F27FD1">
      <w:pPr>
        <w:jc w:val="center"/>
        <w:rPr>
          <w:rFonts w:ascii="Bookman Old Style" w:hAnsi="Bookman Old Style"/>
          <w:b/>
        </w:rPr>
      </w:pPr>
    </w:p>
    <w:p w14:paraId="3C0580E7" w14:textId="77777777" w:rsidR="00E17810" w:rsidRPr="00EB0C75" w:rsidRDefault="00E17810" w:rsidP="00F27FD1">
      <w:pPr>
        <w:jc w:val="center"/>
        <w:rPr>
          <w:rFonts w:ascii="Bookman Old Style" w:hAnsi="Bookman Old Style"/>
          <w:b/>
        </w:rPr>
      </w:pPr>
    </w:p>
    <w:p w14:paraId="3A2EE314" w14:textId="378EE194" w:rsidR="00E17810" w:rsidRPr="00EB0C75" w:rsidRDefault="0054152A" w:rsidP="00F27FD1">
      <w:pPr>
        <w:spacing w:line="360" w:lineRule="auto"/>
        <w:jc w:val="center"/>
        <w:rPr>
          <w:rFonts w:ascii="Bookman Old Style" w:hAnsi="Bookman Old Style"/>
        </w:rPr>
      </w:pPr>
      <w:r w:rsidRPr="00EB0C75">
        <w:rPr>
          <w:rFonts w:ascii="Bookman Old Style" w:hAnsi="Bookman Old Style"/>
        </w:rPr>
        <w:t xml:space="preserve">Under the guidance of </w:t>
      </w:r>
      <w:r w:rsidR="009B7FAD">
        <w:rPr>
          <w:rFonts w:ascii="Bookman Old Style" w:hAnsi="Bookman Old Style"/>
        </w:rPr>
        <w:br/>
      </w:r>
    </w:p>
    <w:p w14:paraId="16C90B58" w14:textId="77777777" w:rsidR="009B7FAD" w:rsidRPr="009B7FAD" w:rsidRDefault="009B7FAD" w:rsidP="00F27FD1">
      <w:pPr>
        <w:jc w:val="center"/>
        <w:rPr>
          <w:rFonts w:ascii="Bookman Old Style" w:hAnsi="Bookman Old Style"/>
          <w:b/>
          <w:bCs/>
          <w:lang w:val="en-IN"/>
        </w:rPr>
      </w:pPr>
      <w:r w:rsidRPr="009B7FAD">
        <w:rPr>
          <w:rFonts w:ascii="Bookman Old Style" w:hAnsi="Bookman Old Style"/>
          <w:b/>
          <w:bCs/>
          <w:lang w:val="en-IN"/>
        </w:rPr>
        <w:t>Mr. Vikyath</w:t>
      </w:r>
    </w:p>
    <w:p w14:paraId="33CA42D8" w14:textId="591F09D5" w:rsidR="00E17810" w:rsidRPr="00EB0C75" w:rsidRDefault="00E17810" w:rsidP="00F27FD1">
      <w:pPr>
        <w:jc w:val="center"/>
        <w:rPr>
          <w:rFonts w:ascii="Bookman Old Style" w:hAnsi="Bookman Old Style"/>
          <w:b/>
        </w:rPr>
      </w:pPr>
    </w:p>
    <w:p w14:paraId="6BCFCB24" w14:textId="1F23E1E4" w:rsidR="009B7FAD" w:rsidRPr="009B7FAD" w:rsidRDefault="009B7FAD" w:rsidP="00F27FD1">
      <w:pPr>
        <w:jc w:val="center"/>
        <w:rPr>
          <w:rFonts w:ascii="Bookman Old Style" w:hAnsi="Bookman Old Style"/>
          <w:lang w:val="en-IN"/>
        </w:rPr>
      </w:pPr>
      <w:r>
        <w:rPr>
          <w:rFonts w:ascii="Bookman Old Style" w:hAnsi="Bookman Old Style"/>
        </w:rPr>
        <w:t>Lecturer</w:t>
      </w:r>
      <w:r w:rsidR="0054152A" w:rsidRPr="00EB0C75">
        <w:rPr>
          <w:rFonts w:ascii="Bookman Old Style" w:hAnsi="Bookman Old Style"/>
        </w:rPr>
        <w:t xml:space="preserve">, </w:t>
      </w:r>
      <w:r w:rsidRPr="009B7FAD">
        <w:rPr>
          <w:rFonts w:ascii="Bookman Old Style" w:hAnsi="Bookman Old Style"/>
          <w:lang w:val="en-IN"/>
        </w:rPr>
        <w:t>Computer Science</w:t>
      </w:r>
      <w:r>
        <w:rPr>
          <w:rFonts w:ascii="Bookman Old Style" w:hAnsi="Bookman Old Style"/>
          <w:lang w:val="en-IN"/>
        </w:rPr>
        <w:t xml:space="preserve"> Department</w:t>
      </w:r>
    </w:p>
    <w:p w14:paraId="48AD3F9D" w14:textId="77777777" w:rsidR="009B7FAD" w:rsidRPr="00EB0C75" w:rsidRDefault="009B7FAD" w:rsidP="00F27FD1">
      <w:pPr>
        <w:jc w:val="center"/>
        <w:rPr>
          <w:rFonts w:ascii="Bookman Old Style" w:hAnsi="Bookman Old Style"/>
        </w:rPr>
      </w:pPr>
      <w:proofErr w:type="spellStart"/>
      <w:r>
        <w:rPr>
          <w:rFonts w:ascii="Bookman Old Style" w:hAnsi="Bookman Old Style"/>
        </w:rPr>
        <w:t>Yenepoya</w:t>
      </w:r>
      <w:proofErr w:type="spellEnd"/>
      <w:r>
        <w:rPr>
          <w:rFonts w:ascii="Bookman Old Style" w:hAnsi="Bookman Old Style"/>
        </w:rPr>
        <w:t xml:space="preserve"> Institute of Arts, Science, Commerce and Management</w:t>
      </w:r>
    </w:p>
    <w:p w14:paraId="6A33703C" w14:textId="396E38B6" w:rsidR="00E17810" w:rsidRPr="00EB0C75" w:rsidRDefault="009B7FAD" w:rsidP="00F27FD1">
      <w:pPr>
        <w:jc w:val="center"/>
        <w:rPr>
          <w:rFonts w:ascii="Bookman Old Style" w:hAnsi="Bookman Old Style"/>
        </w:rPr>
      </w:pPr>
      <w:r>
        <w:rPr>
          <w:rFonts w:ascii="Bookman Old Style" w:hAnsi="Bookman Old Style"/>
        </w:rPr>
        <w:t>Mangalore</w:t>
      </w:r>
    </w:p>
    <w:p w14:paraId="2121AF90" w14:textId="77777777" w:rsidR="00E17810" w:rsidRPr="00EB0C75" w:rsidRDefault="00E17810" w:rsidP="00F27FD1">
      <w:pPr>
        <w:spacing w:line="360" w:lineRule="auto"/>
        <w:jc w:val="center"/>
        <w:rPr>
          <w:rFonts w:ascii="Bookman Old Style" w:hAnsi="Bookman Old Style"/>
        </w:rPr>
      </w:pPr>
    </w:p>
    <w:p w14:paraId="2458EF8C" w14:textId="77777777" w:rsidR="00E17810" w:rsidRPr="00EB0C75" w:rsidRDefault="0054152A" w:rsidP="00F27FD1">
      <w:pPr>
        <w:jc w:val="center"/>
        <w:rPr>
          <w:rFonts w:ascii="Bookman Old Style" w:hAnsi="Bookman Old Style"/>
          <w:b/>
          <w:sz w:val="28"/>
          <w:szCs w:val="28"/>
        </w:rPr>
      </w:pPr>
      <w:r w:rsidRPr="00EB0C75">
        <w:rPr>
          <w:rFonts w:ascii="Bookman Old Style" w:hAnsi="Bookman Old Style"/>
        </w:rPr>
        <w:t>Submitted to</w:t>
      </w:r>
    </w:p>
    <w:p w14:paraId="02EA853C" w14:textId="77777777" w:rsidR="00E17810" w:rsidRPr="00EB0C75" w:rsidRDefault="00E17810" w:rsidP="00F27FD1">
      <w:pPr>
        <w:jc w:val="center"/>
        <w:rPr>
          <w:rFonts w:ascii="Bookman Old Style" w:hAnsi="Bookman Old Style"/>
          <w:b/>
          <w:sz w:val="28"/>
          <w:szCs w:val="28"/>
        </w:rPr>
      </w:pPr>
    </w:p>
    <w:p w14:paraId="7A060B30" w14:textId="77777777" w:rsidR="00E17810" w:rsidRPr="00EB0C75" w:rsidRDefault="0054152A" w:rsidP="00F27FD1">
      <w:pPr>
        <w:jc w:val="center"/>
        <w:rPr>
          <w:rFonts w:ascii="Bookman Old Style" w:eastAsia="Tahoma" w:hAnsi="Bookman Old Style" w:cs="Tahoma"/>
          <w:b/>
          <w:color w:val="0000FF"/>
          <w:sz w:val="36"/>
          <w:szCs w:val="36"/>
        </w:rPr>
      </w:pPr>
      <w:r w:rsidRPr="00EB0C75">
        <w:rPr>
          <w:rFonts w:ascii="Bookman Old Style" w:hAnsi="Bookman Old Style"/>
          <w:noProof/>
          <w:sz w:val="20"/>
          <w:szCs w:val="20"/>
          <w:lang w:val="en-IN"/>
        </w:rPr>
        <w:drawing>
          <wp:inline distT="0" distB="0" distL="114300" distR="114300" wp14:anchorId="195C4328" wp14:editId="03890A49">
            <wp:extent cx="1336675" cy="115697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36675" cy="1156970"/>
                    </a:xfrm>
                    <a:prstGeom prst="rect">
                      <a:avLst/>
                    </a:prstGeom>
                    <a:ln/>
                  </pic:spPr>
                </pic:pic>
              </a:graphicData>
            </a:graphic>
          </wp:inline>
        </w:drawing>
      </w:r>
    </w:p>
    <w:p w14:paraId="54E819B7" w14:textId="77777777" w:rsidR="00E17810" w:rsidRPr="00EB0C75" w:rsidRDefault="00E17810" w:rsidP="00F27FD1">
      <w:pPr>
        <w:jc w:val="center"/>
        <w:rPr>
          <w:rFonts w:ascii="Bookman Old Style" w:eastAsia="Tahoma" w:hAnsi="Bookman Old Style" w:cs="Tahoma"/>
          <w:b/>
          <w:color w:val="0000FF"/>
          <w:sz w:val="36"/>
          <w:szCs w:val="36"/>
        </w:rPr>
      </w:pPr>
    </w:p>
    <w:p w14:paraId="672F53D3" w14:textId="77777777" w:rsidR="00E17810" w:rsidRPr="00EB0C75" w:rsidRDefault="0054152A" w:rsidP="00F27FD1">
      <w:pPr>
        <w:widowControl w:val="0"/>
        <w:spacing w:before="90" w:line="244" w:lineRule="auto"/>
        <w:ind w:right="30"/>
        <w:jc w:val="center"/>
        <w:rPr>
          <w:rFonts w:ascii="Bookman Old Style" w:hAnsi="Bookman Old Style"/>
          <w:b/>
          <w:sz w:val="26"/>
          <w:szCs w:val="26"/>
        </w:rPr>
      </w:pPr>
      <w:r w:rsidRPr="00EB0C75">
        <w:rPr>
          <w:rFonts w:ascii="Bookman Old Style" w:hAnsi="Bookman Old Style"/>
          <w:b/>
          <w:sz w:val="26"/>
          <w:szCs w:val="26"/>
        </w:rPr>
        <w:t>YENEPOYA INSTITUTE OF ARTS, SCIENCE, COMMERCE AND MANAGEMENT</w:t>
      </w:r>
    </w:p>
    <w:p w14:paraId="1DAFB765" w14:textId="69A899EB" w:rsidR="00E17810" w:rsidRPr="00EB0C75" w:rsidRDefault="0054152A" w:rsidP="00F27FD1">
      <w:pPr>
        <w:widowControl w:val="0"/>
        <w:ind w:right="30" w:hanging="60"/>
        <w:jc w:val="center"/>
        <w:rPr>
          <w:rFonts w:ascii="Bookman Old Style" w:hAnsi="Bookman Old Style"/>
          <w:b/>
          <w:sz w:val="26"/>
          <w:szCs w:val="26"/>
        </w:rPr>
      </w:pPr>
      <w:r w:rsidRPr="00EB0C75">
        <w:rPr>
          <w:rFonts w:ascii="Bookman Old Style" w:hAnsi="Bookman Old Style"/>
          <w:b/>
          <w:sz w:val="26"/>
          <w:szCs w:val="26"/>
        </w:rPr>
        <w:t>BALMATTA, MANGALORE</w:t>
      </w:r>
    </w:p>
    <w:p w14:paraId="1827B9BF" w14:textId="2090E0C4" w:rsidR="00E17810" w:rsidRPr="009B7FAD" w:rsidRDefault="0054152A" w:rsidP="00F27FD1">
      <w:pPr>
        <w:widowControl w:val="0"/>
        <w:ind w:right="30" w:hanging="60"/>
        <w:jc w:val="center"/>
        <w:rPr>
          <w:rFonts w:ascii="Bookman Old Style" w:eastAsia="Tahoma" w:hAnsi="Bookman Old Style" w:cs="Tahoma"/>
          <w:b/>
          <w:sz w:val="30"/>
          <w:szCs w:val="30"/>
        </w:rPr>
      </w:pPr>
      <w:r w:rsidRPr="00EB0C75">
        <w:rPr>
          <w:rFonts w:ascii="Bookman Old Style" w:hAnsi="Bookman Old Style"/>
          <w:b/>
          <w:sz w:val="26"/>
          <w:szCs w:val="26"/>
        </w:rPr>
        <w:t>YENEPOYA (DEEMED TO BE UNIVERSITY)</w:t>
      </w:r>
    </w:p>
    <w:p w14:paraId="470D9546" w14:textId="77777777" w:rsidR="00E17810" w:rsidRPr="00D9062B" w:rsidRDefault="0054152A" w:rsidP="00EB0C75">
      <w:pPr>
        <w:numPr>
          <w:ilvl w:val="0"/>
          <w:numId w:val="1"/>
        </w:numPr>
        <w:spacing w:after="280"/>
        <w:ind w:hanging="1080"/>
        <w:jc w:val="both"/>
        <w:rPr>
          <w:rFonts w:ascii="Bookman Old Style" w:eastAsia="Arial" w:hAnsi="Bookman Old Style" w:cs="Arial"/>
          <w:b/>
          <w:sz w:val="28"/>
          <w:szCs w:val="28"/>
        </w:rPr>
      </w:pPr>
      <w:r w:rsidRPr="00D9062B">
        <w:rPr>
          <w:rFonts w:ascii="Bookman Old Style" w:eastAsia="Arial" w:hAnsi="Bookman Old Style" w:cs="Arial"/>
          <w:b/>
          <w:sz w:val="28"/>
          <w:szCs w:val="28"/>
        </w:rPr>
        <w:lastRenderedPageBreak/>
        <w:t>Title of the Project</w:t>
      </w:r>
    </w:p>
    <w:p w14:paraId="6F2483CE" w14:textId="30D9F259" w:rsidR="00E17810" w:rsidRDefault="009B7FAD" w:rsidP="00F27FD1">
      <w:pPr>
        <w:spacing w:line="360" w:lineRule="auto"/>
        <w:ind w:left="360"/>
        <w:jc w:val="both"/>
        <w:rPr>
          <w:rFonts w:ascii="Arial" w:eastAsia="Arial" w:hAnsi="Arial" w:cs="Arial"/>
          <w:i/>
          <w:sz w:val="22"/>
          <w:szCs w:val="22"/>
        </w:rPr>
      </w:pPr>
      <w:r w:rsidRPr="009B7FAD">
        <w:rPr>
          <w:rFonts w:ascii="Bookman Old Style" w:eastAsia="Arial" w:hAnsi="Bookman Old Style" w:cs="Arial"/>
        </w:rPr>
        <w:t>Identity Security Framework for Supply Chain</w:t>
      </w:r>
      <w:r w:rsidR="0054152A">
        <w:rPr>
          <w:rFonts w:ascii="Arial" w:eastAsia="Arial" w:hAnsi="Arial" w:cs="Arial"/>
          <w:i/>
          <w:sz w:val="22"/>
          <w:szCs w:val="22"/>
        </w:rPr>
        <w:t xml:space="preserve">.  </w:t>
      </w:r>
    </w:p>
    <w:p w14:paraId="66E16CD2" w14:textId="77777777" w:rsidR="00E17810" w:rsidRDefault="00E17810" w:rsidP="00EB0C75">
      <w:pPr>
        <w:spacing w:line="360" w:lineRule="auto"/>
        <w:jc w:val="both"/>
        <w:rPr>
          <w:rFonts w:ascii="Arial" w:eastAsia="Arial" w:hAnsi="Arial" w:cs="Arial"/>
          <w:i/>
          <w:sz w:val="22"/>
          <w:szCs w:val="22"/>
        </w:rPr>
      </w:pPr>
    </w:p>
    <w:p w14:paraId="71189F36" w14:textId="77777777" w:rsidR="00E17810" w:rsidRPr="00D9062B" w:rsidRDefault="0054152A" w:rsidP="00F27FD1">
      <w:pPr>
        <w:numPr>
          <w:ilvl w:val="0"/>
          <w:numId w:val="1"/>
        </w:numPr>
        <w:spacing w:after="280"/>
        <w:jc w:val="both"/>
        <w:rPr>
          <w:rFonts w:ascii="Bookman Old Style" w:eastAsia="Arial" w:hAnsi="Bookman Old Style" w:cs="Arial"/>
          <w:b/>
          <w:sz w:val="28"/>
          <w:szCs w:val="28"/>
        </w:rPr>
      </w:pPr>
      <w:r w:rsidRPr="00D9062B">
        <w:rPr>
          <w:rFonts w:ascii="Bookman Old Style" w:eastAsia="Arial" w:hAnsi="Bookman Old Style" w:cs="Arial"/>
          <w:b/>
          <w:sz w:val="28"/>
          <w:szCs w:val="28"/>
        </w:rPr>
        <w:t>Statement of the Problem</w:t>
      </w:r>
    </w:p>
    <w:p w14:paraId="3FC46696" w14:textId="77777777" w:rsidR="00F27FD1" w:rsidRPr="00F27FD1" w:rsidRDefault="00F27FD1" w:rsidP="00F27FD1">
      <w:pPr>
        <w:spacing w:line="360" w:lineRule="auto"/>
        <w:ind w:left="360"/>
        <w:jc w:val="both"/>
        <w:rPr>
          <w:rFonts w:ascii="Bookman Old Style" w:eastAsia="Arial" w:hAnsi="Bookman Old Style" w:cs="Arial"/>
          <w:lang w:val="en-IN"/>
        </w:rPr>
      </w:pPr>
      <w:r w:rsidRPr="00F27FD1">
        <w:rPr>
          <w:rFonts w:ascii="Bookman Old Style" w:eastAsia="Arial" w:hAnsi="Bookman Old Style" w:cs="Arial"/>
          <w:lang w:val="en-IN"/>
        </w:rPr>
        <w:t>Logistics networks suffer from a lack of "Identity Visibility," where cargo data is often stored in plain text and accessible via weak credentials. This exposes the supply chain to data tampering and cargo theft. The problem is to implement a project that not only secures the identity of stakeholders (Suppliers, Managers) but also protects the operational data (Content, Origin) using industrial-grade encryption.</w:t>
      </w:r>
    </w:p>
    <w:p w14:paraId="068DBE02" w14:textId="77777777" w:rsidR="00F27FD1" w:rsidRDefault="00F27FD1" w:rsidP="00F27FD1">
      <w:pPr>
        <w:spacing w:line="360" w:lineRule="auto"/>
        <w:jc w:val="both"/>
        <w:rPr>
          <w:rFonts w:ascii="Bookman Old Style" w:eastAsia="Arial" w:hAnsi="Bookman Old Style" w:cs="Arial"/>
          <w:b/>
          <w:bCs/>
          <w:lang w:val="en-IN"/>
        </w:rPr>
      </w:pPr>
    </w:p>
    <w:p w14:paraId="012FA9BB" w14:textId="097D3968" w:rsidR="00F27FD1" w:rsidRDefault="00F27FD1" w:rsidP="00F27FD1">
      <w:pPr>
        <w:pStyle w:val="ListParagraph"/>
        <w:numPr>
          <w:ilvl w:val="0"/>
          <w:numId w:val="1"/>
        </w:numPr>
        <w:spacing w:line="360" w:lineRule="auto"/>
        <w:jc w:val="both"/>
        <w:rPr>
          <w:rFonts w:ascii="Bookman Old Style" w:eastAsia="Arial" w:hAnsi="Bookman Old Style" w:cs="Arial"/>
          <w:b/>
          <w:bCs/>
          <w:lang w:val="en-IN"/>
        </w:rPr>
      </w:pPr>
      <w:r w:rsidRPr="00F27FD1">
        <w:rPr>
          <w:rFonts w:ascii="Bookman Old Style" w:eastAsia="Arial" w:hAnsi="Bookman Old Style" w:cs="Arial"/>
          <w:b/>
          <w:bCs/>
          <w:lang w:val="en-IN"/>
        </w:rPr>
        <w:t>Why this particular topic chosen?</w:t>
      </w:r>
    </w:p>
    <w:p w14:paraId="13B405FF" w14:textId="77777777" w:rsidR="00F27FD1" w:rsidRPr="00F27FD1" w:rsidRDefault="00F27FD1" w:rsidP="00F27FD1">
      <w:pPr>
        <w:pStyle w:val="ListParagraph"/>
        <w:spacing w:line="360" w:lineRule="auto"/>
        <w:ind w:left="1080"/>
        <w:jc w:val="both"/>
        <w:rPr>
          <w:rFonts w:ascii="Bookman Old Style" w:eastAsia="Arial" w:hAnsi="Bookman Old Style" w:cs="Arial"/>
          <w:b/>
          <w:bCs/>
          <w:lang w:val="en-IN"/>
        </w:rPr>
      </w:pPr>
    </w:p>
    <w:p w14:paraId="5EFA9349" w14:textId="77777777" w:rsidR="00F27FD1" w:rsidRPr="00F27FD1" w:rsidRDefault="00F27FD1" w:rsidP="00F27FD1">
      <w:pPr>
        <w:spacing w:line="360" w:lineRule="auto"/>
        <w:ind w:left="360"/>
        <w:jc w:val="both"/>
        <w:rPr>
          <w:rFonts w:ascii="Bookman Old Style" w:eastAsia="Arial" w:hAnsi="Bookman Old Style" w:cs="Arial"/>
          <w:lang w:val="en-IN"/>
        </w:rPr>
      </w:pPr>
      <w:r w:rsidRPr="00F27FD1">
        <w:rPr>
          <w:rFonts w:ascii="Bookman Old Style" w:eastAsia="Arial" w:hAnsi="Bookman Old Style" w:cs="Arial"/>
          <w:lang w:val="en-IN"/>
        </w:rPr>
        <w:t>Supply chain security is a global priority. This topic allows for the exploration of "Zero-Trust" data principles in a logistics context. It is technically challenging as it requires the integration of cryptographic libraries (Fernet) with real-time mapping technologies (Leaflet.js) to show how identity drives the movement of goods in a safe environment. The problem was chosen not because it is easy, but because it bridges the gap between domain-specific logistics needs and modern cybersecurity practices. Future scope includes live GPS tracking and biometric MFA.</w:t>
      </w:r>
    </w:p>
    <w:p w14:paraId="6AD6599E" w14:textId="77777777" w:rsidR="00F27FD1" w:rsidRDefault="00F27FD1" w:rsidP="00F27FD1">
      <w:pPr>
        <w:spacing w:line="360" w:lineRule="auto"/>
        <w:jc w:val="both"/>
        <w:rPr>
          <w:rFonts w:ascii="Bookman Old Style" w:eastAsia="Arial" w:hAnsi="Bookman Old Style" w:cs="Arial"/>
          <w:b/>
          <w:bCs/>
          <w:lang w:val="en-IN"/>
        </w:rPr>
      </w:pPr>
    </w:p>
    <w:p w14:paraId="4DF12DC3" w14:textId="07AC2311" w:rsidR="00F27FD1" w:rsidRPr="00F27FD1" w:rsidRDefault="00F27FD1" w:rsidP="00F27FD1">
      <w:pPr>
        <w:pStyle w:val="ListParagraph"/>
        <w:numPr>
          <w:ilvl w:val="0"/>
          <w:numId w:val="1"/>
        </w:numPr>
        <w:spacing w:line="360" w:lineRule="auto"/>
        <w:jc w:val="both"/>
        <w:rPr>
          <w:rFonts w:ascii="Bookman Old Style" w:eastAsia="Arial" w:hAnsi="Bookman Old Style" w:cs="Arial"/>
          <w:b/>
          <w:bCs/>
          <w:lang w:val="en-IN"/>
        </w:rPr>
      </w:pPr>
      <w:r w:rsidRPr="00F27FD1">
        <w:rPr>
          <w:rFonts w:ascii="Bookman Old Style" w:eastAsia="Arial" w:hAnsi="Bookman Old Style" w:cs="Arial"/>
          <w:b/>
          <w:bCs/>
          <w:lang w:val="en-IN"/>
        </w:rPr>
        <w:t>Objective and Scope</w:t>
      </w:r>
    </w:p>
    <w:p w14:paraId="29ADB2AB" w14:textId="77777777" w:rsidR="00F27FD1" w:rsidRPr="00F27FD1" w:rsidRDefault="00F27FD1" w:rsidP="00F27FD1">
      <w:pPr>
        <w:pStyle w:val="ListParagraph"/>
        <w:spacing w:line="360" w:lineRule="auto"/>
        <w:ind w:left="1080"/>
        <w:jc w:val="both"/>
        <w:rPr>
          <w:rFonts w:ascii="Bookman Old Style" w:eastAsia="Arial" w:hAnsi="Bookman Old Style" w:cs="Arial"/>
          <w:b/>
          <w:bCs/>
          <w:lang w:val="en-IN"/>
        </w:rPr>
      </w:pPr>
    </w:p>
    <w:p w14:paraId="38756E4D" w14:textId="77777777" w:rsidR="00F27FD1" w:rsidRPr="00F27FD1" w:rsidRDefault="00F27FD1" w:rsidP="00F27FD1">
      <w:pPr>
        <w:numPr>
          <w:ilvl w:val="0"/>
          <w:numId w:val="3"/>
        </w:numPr>
        <w:spacing w:line="360" w:lineRule="auto"/>
        <w:jc w:val="both"/>
        <w:rPr>
          <w:rFonts w:ascii="Bookman Old Style" w:eastAsia="Arial" w:hAnsi="Bookman Old Style" w:cs="Arial"/>
          <w:lang w:val="en-IN"/>
        </w:rPr>
      </w:pPr>
      <w:r w:rsidRPr="00F27FD1">
        <w:rPr>
          <w:rFonts w:ascii="Bookman Old Style" w:eastAsia="Arial" w:hAnsi="Bookman Old Style" w:cs="Arial"/>
          <w:b/>
          <w:bCs/>
          <w:lang w:val="en-IN"/>
        </w:rPr>
        <w:t>Objective</w:t>
      </w:r>
      <w:r w:rsidRPr="00F27FD1">
        <w:rPr>
          <w:rFonts w:ascii="Bookman Old Style" w:eastAsia="Arial" w:hAnsi="Bookman Old Style" w:cs="Arial"/>
          <w:lang w:val="en-IN"/>
        </w:rPr>
        <w:t xml:space="preserve">: To build an industrial command </w:t>
      </w:r>
      <w:proofErr w:type="spellStart"/>
      <w:r w:rsidRPr="00F27FD1">
        <w:rPr>
          <w:rFonts w:ascii="Bookman Old Style" w:eastAsia="Arial" w:hAnsi="Bookman Old Style" w:cs="Arial"/>
          <w:lang w:val="en-IN"/>
        </w:rPr>
        <w:t>center</w:t>
      </w:r>
      <w:proofErr w:type="spellEnd"/>
      <w:r w:rsidRPr="00F27FD1">
        <w:rPr>
          <w:rFonts w:ascii="Bookman Old Style" w:eastAsia="Arial" w:hAnsi="Bookman Old Style" w:cs="Arial"/>
          <w:lang w:val="en-IN"/>
        </w:rPr>
        <w:t xml:space="preserve"> where every logistical asset is encrypted and every user is multi-factor authenticated (Google OAuth + TOTP). The system enforces role-based access control (RBAC) for Suppliers, Logistics Coordinators, and Managers.</w:t>
      </w:r>
    </w:p>
    <w:p w14:paraId="5C6F200A" w14:textId="4B5C952B" w:rsidR="00F27FD1" w:rsidRPr="00F27FD1" w:rsidRDefault="00F27FD1" w:rsidP="00F27FD1">
      <w:pPr>
        <w:numPr>
          <w:ilvl w:val="0"/>
          <w:numId w:val="3"/>
        </w:numPr>
        <w:spacing w:line="360" w:lineRule="auto"/>
        <w:jc w:val="both"/>
        <w:rPr>
          <w:rFonts w:ascii="Bookman Old Style" w:eastAsia="Arial" w:hAnsi="Bookman Old Style" w:cs="Arial"/>
          <w:lang w:val="en-IN"/>
        </w:rPr>
      </w:pPr>
      <w:r w:rsidRPr="00F27FD1">
        <w:rPr>
          <w:rFonts w:ascii="Bookman Old Style" w:eastAsia="Arial" w:hAnsi="Bookman Old Style" w:cs="Arial"/>
          <w:b/>
          <w:bCs/>
          <w:lang w:val="en-IN"/>
        </w:rPr>
        <w:t>Scope</w:t>
      </w:r>
      <w:r w:rsidRPr="00F27FD1">
        <w:rPr>
          <w:rFonts w:ascii="Bookman Old Style" w:eastAsia="Arial" w:hAnsi="Bookman Old Style" w:cs="Arial"/>
          <w:lang w:val="en-IN"/>
        </w:rPr>
        <w:t>: Includes Supplier dispatching, Logistics management, and Managerial oversight. The scope covers the full lifecycle of cargo from "In Transit" to "Delivered," secured by OAuth and TOTP. The project does not cover payment processing or real vehicle tracking</w:t>
      </w:r>
    </w:p>
    <w:p w14:paraId="2AF808AA" w14:textId="2295807E" w:rsidR="00F27FD1" w:rsidRDefault="00F27FD1" w:rsidP="00F27FD1">
      <w:pPr>
        <w:spacing w:line="360" w:lineRule="auto"/>
        <w:jc w:val="both"/>
        <w:rPr>
          <w:rFonts w:ascii="Bookman Old Style" w:eastAsia="Arial" w:hAnsi="Bookman Old Style" w:cs="Arial"/>
          <w:b/>
          <w:bCs/>
          <w:lang w:val="en-IN"/>
        </w:rPr>
      </w:pPr>
      <w:r w:rsidRPr="00F27FD1">
        <w:rPr>
          <w:rFonts w:ascii="Bookman Old Style" w:eastAsia="Arial" w:hAnsi="Bookman Old Style" w:cs="Arial"/>
          <w:b/>
          <w:bCs/>
          <w:lang w:val="en-IN"/>
        </w:rPr>
        <w:lastRenderedPageBreak/>
        <w:t>V. Methodology</w:t>
      </w:r>
    </w:p>
    <w:p w14:paraId="0E180C62" w14:textId="77777777" w:rsidR="00F27FD1" w:rsidRPr="00F27FD1" w:rsidRDefault="00F27FD1" w:rsidP="00F27FD1">
      <w:pPr>
        <w:spacing w:line="360" w:lineRule="auto"/>
        <w:jc w:val="both"/>
        <w:rPr>
          <w:rFonts w:ascii="Bookman Old Style" w:eastAsia="Arial" w:hAnsi="Bookman Old Style" w:cs="Arial"/>
          <w:b/>
          <w:bCs/>
          <w:lang w:val="en-IN"/>
        </w:rPr>
      </w:pPr>
    </w:p>
    <w:p w14:paraId="08713D19" w14:textId="77777777" w:rsidR="00F27FD1" w:rsidRPr="00F27FD1" w:rsidRDefault="00F27FD1" w:rsidP="00F27FD1">
      <w:pPr>
        <w:spacing w:line="360" w:lineRule="auto"/>
        <w:jc w:val="both"/>
        <w:rPr>
          <w:rFonts w:ascii="Bookman Old Style" w:eastAsia="Arial" w:hAnsi="Bookman Old Style" w:cs="Arial"/>
          <w:lang w:val="en-IN"/>
        </w:rPr>
      </w:pPr>
      <w:r w:rsidRPr="00F27FD1">
        <w:rPr>
          <w:rFonts w:ascii="Bookman Old Style" w:eastAsia="Arial" w:hAnsi="Bookman Old Style" w:cs="Arial"/>
          <w:lang w:val="en-IN"/>
        </w:rPr>
        <w:t>A </w:t>
      </w:r>
      <w:r w:rsidRPr="00F27FD1">
        <w:rPr>
          <w:rFonts w:ascii="Bookman Old Style" w:eastAsia="Arial" w:hAnsi="Bookman Old Style" w:cs="Arial"/>
          <w:b/>
          <w:bCs/>
          <w:lang w:val="en-IN"/>
        </w:rPr>
        <w:t>Hybrid Waterfall-Agile Methodology</w:t>
      </w:r>
      <w:r w:rsidRPr="00F27FD1">
        <w:rPr>
          <w:rFonts w:ascii="Bookman Old Style" w:eastAsia="Arial" w:hAnsi="Bookman Old Style" w:cs="Arial"/>
          <w:lang w:val="en-IN"/>
        </w:rPr>
        <w:t> was used. The security requirements (encryption, authentication, RBAC) were defined upfront following a Waterfall approach, as these are non-negotiable. The interactive dashboards and mapping telemetry were developed in iterative 2-week Agile sprints, allowing rapid UI feedback. This hybrid model ensures both security rigor and user-</w:t>
      </w:r>
      <w:proofErr w:type="spellStart"/>
      <w:r w:rsidRPr="00F27FD1">
        <w:rPr>
          <w:rFonts w:ascii="Bookman Old Style" w:eastAsia="Arial" w:hAnsi="Bookman Old Style" w:cs="Arial"/>
          <w:lang w:val="en-IN"/>
        </w:rPr>
        <w:t>centered</w:t>
      </w:r>
      <w:proofErr w:type="spellEnd"/>
      <w:r w:rsidRPr="00F27FD1">
        <w:rPr>
          <w:rFonts w:ascii="Bookman Old Style" w:eastAsia="Arial" w:hAnsi="Bookman Old Style" w:cs="Arial"/>
          <w:lang w:val="en-IN"/>
        </w:rPr>
        <w:t xml:space="preserve"> design.</w:t>
      </w:r>
    </w:p>
    <w:p w14:paraId="4B0A8D15" w14:textId="77777777" w:rsidR="00F27FD1" w:rsidRDefault="00F27FD1" w:rsidP="00F27FD1">
      <w:pPr>
        <w:spacing w:line="360" w:lineRule="auto"/>
        <w:jc w:val="both"/>
        <w:rPr>
          <w:rFonts w:ascii="Bookman Old Style" w:eastAsia="Arial" w:hAnsi="Bookman Old Style" w:cs="Arial"/>
          <w:b/>
          <w:bCs/>
          <w:lang w:val="en-IN"/>
        </w:rPr>
      </w:pPr>
    </w:p>
    <w:p w14:paraId="7B41ABAA" w14:textId="4B9FC30C" w:rsidR="00F27FD1" w:rsidRPr="00F27FD1" w:rsidRDefault="00F27FD1" w:rsidP="00F27FD1">
      <w:pPr>
        <w:spacing w:line="360" w:lineRule="auto"/>
        <w:jc w:val="both"/>
        <w:rPr>
          <w:rFonts w:ascii="Bookman Old Style" w:eastAsia="Arial" w:hAnsi="Bookman Old Style" w:cs="Arial"/>
          <w:b/>
          <w:bCs/>
          <w:lang w:val="en-IN"/>
        </w:rPr>
      </w:pPr>
      <w:r w:rsidRPr="00F27FD1">
        <w:rPr>
          <w:rFonts w:ascii="Bookman Old Style" w:eastAsia="Arial" w:hAnsi="Bookman Old Style" w:cs="Arial"/>
          <w:b/>
          <w:bCs/>
          <w:lang w:val="en-IN"/>
        </w:rPr>
        <w:t>VI. Process Description</w:t>
      </w:r>
    </w:p>
    <w:p w14:paraId="216392D1" w14:textId="77777777" w:rsidR="00F27FD1" w:rsidRPr="00F27FD1" w:rsidRDefault="00F27FD1" w:rsidP="00F27FD1">
      <w:pPr>
        <w:spacing w:line="360" w:lineRule="auto"/>
        <w:jc w:val="both"/>
        <w:rPr>
          <w:rFonts w:ascii="Bookman Old Style" w:eastAsia="Arial" w:hAnsi="Bookman Old Style" w:cs="Arial"/>
          <w:lang w:val="en-IN"/>
        </w:rPr>
      </w:pPr>
      <w:r w:rsidRPr="00F27FD1">
        <w:rPr>
          <w:rFonts w:ascii="Bookman Old Style" w:eastAsia="Arial" w:hAnsi="Bookman Old Style" w:cs="Arial"/>
          <w:lang w:val="en-IN"/>
        </w:rPr>
        <w:t>The system consists of three main modules:</w:t>
      </w:r>
    </w:p>
    <w:p w14:paraId="040431B9" w14:textId="77777777" w:rsidR="00F27FD1" w:rsidRPr="00F27FD1" w:rsidRDefault="00F27FD1" w:rsidP="00F27FD1">
      <w:pPr>
        <w:numPr>
          <w:ilvl w:val="0"/>
          <w:numId w:val="4"/>
        </w:numPr>
        <w:spacing w:line="360" w:lineRule="auto"/>
        <w:jc w:val="both"/>
        <w:rPr>
          <w:rFonts w:ascii="Bookman Old Style" w:eastAsia="Arial" w:hAnsi="Bookman Old Style" w:cs="Arial"/>
          <w:lang w:val="en-IN"/>
        </w:rPr>
      </w:pPr>
      <w:r w:rsidRPr="00F27FD1">
        <w:rPr>
          <w:rFonts w:ascii="Bookman Old Style" w:eastAsia="Arial" w:hAnsi="Bookman Old Style" w:cs="Arial"/>
          <w:b/>
          <w:bCs/>
          <w:lang w:val="en-IN"/>
        </w:rPr>
        <w:t>Identity Hub</w:t>
      </w:r>
      <w:r w:rsidRPr="00F27FD1">
        <w:rPr>
          <w:rFonts w:ascii="Bookman Old Style" w:eastAsia="Arial" w:hAnsi="Bookman Old Style" w:cs="Arial"/>
          <w:lang w:val="en-IN"/>
        </w:rPr>
        <w:t> – Handles user registration, login (password + Google OAuth), TOTP setup/verification, and session management.</w:t>
      </w:r>
    </w:p>
    <w:p w14:paraId="2FF438DC" w14:textId="77777777" w:rsidR="00F27FD1" w:rsidRPr="00F27FD1" w:rsidRDefault="00F27FD1" w:rsidP="00F27FD1">
      <w:pPr>
        <w:numPr>
          <w:ilvl w:val="0"/>
          <w:numId w:val="4"/>
        </w:numPr>
        <w:spacing w:line="360" w:lineRule="auto"/>
        <w:jc w:val="both"/>
        <w:rPr>
          <w:rFonts w:ascii="Bookman Old Style" w:eastAsia="Arial" w:hAnsi="Bookman Old Style" w:cs="Arial"/>
          <w:lang w:val="en-IN"/>
        </w:rPr>
      </w:pPr>
      <w:r w:rsidRPr="00F27FD1">
        <w:rPr>
          <w:rFonts w:ascii="Bookman Old Style" w:eastAsia="Arial" w:hAnsi="Bookman Old Style" w:cs="Arial"/>
          <w:b/>
          <w:bCs/>
          <w:lang w:val="en-IN"/>
        </w:rPr>
        <w:t>Encryption Layer</w:t>
      </w:r>
      <w:r w:rsidRPr="00F27FD1">
        <w:rPr>
          <w:rFonts w:ascii="Bookman Old Style" w:eastAsia="Arial" w:hAnsi="Bookman Old Style" w:cs="Arial"/>
          <w:lang w:val="en-IN"/>
        </w:rPr>
        <w:t xml:space="preserve"> – Uses Fernet (symmetric encryption) to automatically encrypt cargo fields (content, origin, destination) before database insertion via </w:t>
      </w:r>
      <w:proofErr w:type="spellStart"/>
      <w:r w:rsidRPr="00F27FD1">
        <w:rPr>
          <w:rFonts w:ascii="Bookman Old Style" w:eastAsia="Arial" w:hAnsi="Bookman Old Style" w:cs="Arial"/>
          <w:lang w:val="en-IN"/>
        </w:rPr>
        <w:t>SQLAlchemy</w:t>
      </w:r>
      <w:proofErr w:type="spellEnd"/>
      <w:r w:rsidRPr="00F27FD1">
        <w:rPr>
          <w:rFonts w:ascii="Bookman Old Style" w:eastAsia="Arial" w:hAnsi="Bookman Old Style" w:cs="Arial"/>
          <w:lang w:val="en-IN"/>
        </w:rPr>
        <w:t xml:space="preserve"> ORM.</w:t>
      </w:r>
    </w:p>
    <w:p w14:paraId="473621AB" w14:textId="77777777" w:rsidR="00F27FD1" w:rsidRPr="00F27FD1" w:rsidRDefault="00F27FD1" w:rsidP="00F27FD1">
      <w:pPr>
        <w:numPr>
          <w:ilvl w:val="0"/>
          <w:numId w:val="4"/>
        </w:numPr>
        <w:spacing w:line="360" w:lineRule="auto"/>
        <w:jc w:val="both"/>
        <w:rPr>
          <w:rFonts w:ascii="Bookman Old Style" w:eastAsia="Arial" w:hAnsi="Bookman Old Style" w:cs="Arial"/>
          <w:lang w:val="en-IN"/>
        </w:rPr>
      </w:pPr>
      <w:r w:rsidRPr="00F27FD1">
        <w:rPr>
          <w:rFonts w:ascii="Bookman Old Style" w:eastAsia="Arial" w:hAnsi="Bookman Old Style" w:cs="Arial"/>
          <w:b/>
          <w:bCs/>
          <w:lang w:val="en-IN"/>
        </w:rPr>
        <w:t>Logistics Hub</w:t>
      </w:r>
      <w:r w:rsidRPr="00F27FD1">
        <w:rPr>
          <w:rFonts w:ascii="Bookman Old Style" w:eastAsia="Arial" w:hAnsi="Bookman Old Style" w:cs="Arial"/>
          <w:lang w:val="en-IN"/>
        </w:rPr>
        <w:t> – Displays a real-time Leaflet.js map with geo-telemetry of shipments; role-based dashboards show different data views.</w:t>
      </w:r>
    </w:p>
    <w:p w14:paraId="02B67D7C" w14:textId="2159446F" w:rsidR="00F27FD1" w:rsidRDefault="00F27FD1" w:rsidP="00F27FD1">
      <w:pPr>
        <w:spacing w:line="360" w:lineRule="auto"/>
        <w:jc w:val="both"/>
        <w:rPr>
          <w:rFonts w:ascii="Bookman Old Style" w:eastAsia="Arial" w:hAnsi="Bookman Old Style" w:cs="Arial"/>
          <w:b/>
          <w:bCs/>
          <w:lang w:val="en-IN"/>
        </w:rPr>
      </w:pPr>
      <w:r w:rsidRPr="00F27FD1">
        <w:rPr>
          <w:rFonts w:ascii="Bookman Old Style" w:eastAsia="Arial" w:hAnsi="Bookman Old Style" w:cs="Arial"/>
          <w:b/>
          <w:bCs/>
          <w:lang w:val="en-IN"/>
        </w:rPr>
        <w:t>Process Logic</w:t>
      </w:r>
      <w:r w:rsidRPr="00F27FD1">
        <w:rPr>
          <w:rFonts w:ascii="Bookman Old Style" w:eastAsia="Arial" w:hAnsi="Bookman Old Style" w:cs="Arial"/>
          <w:lang w:val="en-IN"/>
        </w:rPr>
        <w:t>: When a Supplier dispatches cargo, the data is encrypted by the </w:t>
      </w:r>
      <w:proofErr w:type="spellStart"/>
      <w:r w:rsidRPr="00F27FD1">
        <w:rPr>
          <w:rFonts w:ascii="Bookman Old Style" w:eastAsia="Arial" w:hAnsi="Bookman Old Style" w:cs="Arial"/>
          <w:lang w:val="en-IN"/>
        </w:rPr>
        <w:t>SecurityLayer</w:t>
      </w:r>
      <w:proofErr w:type="spellEnd"/>
      <w:r w:rsidRPr="00F27FD1">
        <w:rPr>
          <w:rFonts w:ascii="Bookman Old Style" w:eastAsia="Arial" w:hAnsi="Bookman Old Style" w:cs="Arial"/>
          <w:lang w:val="en-IN"/>
        </w:rPr>
        <w:t> before hitting the database. Only authenticated and 2FA-verified users can decrypt and view the cargo details. The flow of information is supported by Level-0 DFD and a Login Sequence Flowchart</w:t>
      </w:r>
      <w:r w:rsidRPr="00F27FD1">
        <w:rPr>
          <w:rFonts w:ascii="Bookman Old Style" w:eastAsia="Arial" w:hAnsi="Bookman Old Style" w:cs="Arial"/>
          <w:lang w:val="en-IN"/>
        </w:rPr>
        <w:t>.</w:t>
      </w:r>
    </w:p>
    <w:p w14:paraId="258D232D" w14:textId="77777777" w:rsidR="00F27FD1" w:rsidRPr="00F27FD1" w:rsidRDefault="00F27FD1" w:rsidP="00F27FD1">
      <w:pPr>
        <w:spacing w:line="360" w:lineRule="auto"/>
        <w:jc w:val="both"/>
        <w:rPr>
          <w:rFonts w:ascii="Bookman Old Style" w:eastAsia="Arial" w:hAnsi="Bookman Old Style" w:cs="Arial"/>
          <w:lang w:val="en-IN"/>
        </w:rPr>
      </w:pPr>
    </w:p>
    <w:p w14:paraId="2DF8A1CA" w14:textId="77777777" w:rsidR="00F27FD1" w:rsidRDefault="00F27FD1" w:rsidP="00F27FD1">
      <w:pPr>
        <w:spacing w:line="360" w:lineRule="auto"/>
        <w:jc w:val="both"/>
        <w:rPr>
          <w:rFonts w:ascii="Bookman Old Style" w:eastAsia="Arial" w:hAnsi="Bookman Old Style" w:cs="Arial"/>
          <w:b/>
          <w:bCs/>
          <w:lang w:val="en-IN"/>
        </w:rPr>
      </w:pPr>
      <w:r w:rsidRPr="00F27FD1">
        <w:rPr>
          <w:rFonts w:ascii="Bookman Old Style" w:eastAsia="Arial" w:hAnsi="Bookman Old Style" w:cs="Arial"/>
          <w:b/>
          <w:bCs/>
          <w:lang w:val="en-IN"/>
        </w:rPr>
        <w:t>VII. Resources and Limitations</w:t>
      </w:r>
    </w:p>
    <w:p w14:paraId="3D7E5E3E" w14:textId="77777777" w:rsidR="00F27FD1" w:rsidRPr="00F27FD1" w:rsidRDefault="00F27FD1" w:rsidP="00F27FD1">
      <w:pPr>
        <w:spacing w:line="360" w:lineRule="auto"/>
        <w:jc w:val="both"/>
        <w:rPr>
          <w:rFonts w:ascii="Bookman Old Style" w:eastAsia="Arial" w:hAnsi="Bookman Old Style" w:cs="Arial"/>
          <w:b/>
          <w:bCs/>
          <w:lang w:val="en-IN"/>
        </w:rPr>
      </w:pPr>
    </w:p>
    <w:p w14:paraId="36638E83" w14:textId="77777777" w:rsidR="00F27FD1" w:rsidRPr="00F27FD1" w:rsidRDefault="00F27FD1" w:rsidP="00F27FD1">
      <w:pPr>
        <w:numPr>
          <w:ilvl w:val="0"/>
          <w:numId w:val="5"/>
        </w:numPr>
        <w:spacing w:line="360" w:lineRule="auto"/>
        <w:jc w:val="both"/>
        <w:rPr>
          <w:rFonts w:ascii="Bookman Old Style" w:eastAsia="Arial" w:hAnsi="Bookman Old Style" w:cs="Arial"/>
          <w:lang w:val="en-IN"/>
        </w:rPr>
      </w:pPr>
      <w:r w:rsidRPr="00F27FD1">
        <w:rPr>
          <w:rFonts w:ascii="Bookman Old Style" w:eastAsia="Arial" w:hAnsi="Bookman Old Style" w:cs="Arial"/>
          <w:b/>
          <w:bCs/>
          <w:lang w:val="en-IN"/>
        </w:rPr>
        <w:t>Hardware</w:t>
      </w:r>
      <w:r w:rsidRPr="00F27FD1">
        <w:rPr>
          <w:rFonts w:ascii="Bookman Old Style" w:eastAsia="Arial" w:hAnsi="Bookman Old Style" w:cs="Arial"/>
          <w:lang w:val="en-IN"/>
        </w:rPr>
        <w:t>: Development PC (8GB+ RAM), high-speed internet for map tile rendering and OAuth callbacks.</w:t>
      </w:r>
    </w:p>
    <w:p w14:paraId="245F170D" w14:textId="77777777" w:rsidR="00F27FD1" w:rsidRPr="00F27FD1" w:rsidRDefault="00F27FD1" w:rsidP="00F27FD1">
      <w:pPr>
        <w:numPr>
          <w:ilvl w:val="0"/>
          <w:numId w:val="5"/>
        </w:numPr>
        <w:spacing w:line="360" w:lineRule="auto"/>
        <w:jc w:val="both"/>
        <w:rPr>
          <w:rFonts w:ascii="Bookman Old Style" w:eastAsia="Arial" w:hAnsi="Bookman Old Style" w:cs="Arial"/>
          <w:lang w:val="en-IN"/>
        </w:rPr>
      </w:pPr>
      <w:r w:rsidRPr="00F27FD1">
        <w:rPr>
          <w:rFonts w:ascii="Bookman Old Style" w:eastAsia="Arial" w:hAnsi="Bookman Old Style" w:cs="Arial"/>
          <w:b/>
          <w:bCs/>
          <w:lang w:val="en-IN"/>
        </w:rPr>
        <w:t>Software</w:t>
      </w:r>
      <w:r w:rsidRPr="00F27FD1">
        <w:rPr>
          <w:rFonts w:ascii="Bookman Old Style" w:eastAsia="Arial" w:hAnsi="Bookman Old Style" w:cs="Arial"/>
          <w:lang w:val="en-IN"/>
        </w:rPr>
        <w:t xml:space="preserve">: Python 3.10+, Flask, Flask-Login, SQLite/PostgreSQL, </w:t>
      </w:r>
      <w:proofErr w:type="spellStart"/>
      <w:r w:rsidRPr="00F27FD1">
        <w:rPr>
          <w:rFonts w:ascii="Bookman Old Style" w:eastAsia="Arial" w:hAnsi="Bookman Old Style" w:cs="Arial"/>
          <w:lang w:val="en-IN"/>
        </w:rPr>
        <w:t>SQLAlchemy</w:t>
      </w:r>
      <w:proofErr w:type="spellEnd"/>
      <w:r w:rsidRPr="00F27FD1">
        <w:rPr>
          <w:rFonts w:ascii="Bookman Old Style" w:eastAsia="Arial" w:hAnsi="Bookman Old Style" w:cs="Arial"/>
          <w:lang w:val="en-IN"/>
        </w:rPr>
        <w:t>, cryptography (Fernet), </w:t>
      </w:r>
      <w:proofErr w:type="spellStart"/>
      <w:r w:rsidRPr="00F27FD1">
        <w:rPr>
          <w:rFonts w:ascii="Bookman Old Style" w:eastAsia="Arial" w:hAnsi="Bookman Old Style" w:cs="Arial"/>
          <w:lang w:val="en-IN"/>
        </w:rPr>
        <w:t>authlib</w:t>
      </w:r>
      <w:proofErr w:type="spellEnd"/>
      <w:r w:rsidRPr="00F27FD1">
        <w:rPr>
          <w:rFonts w:ascii="Bookman Old Style" w:eastAsia="Arial" w:hAnsi="Bookman Old Style" w:cs="Arial"/>
          <w:lang w:val="en-IN"/>
        </w:rPr>
        <w:t> (Google OAuth), </w:t>
      </w:r>
      <w:proofErr w:type="spellStart"/>
      <w:r w:rsidRPr="00F27FD1">
        <w:rPr>
          <w:rFonts w:ascii="Bookman Old Style" w:eastAsia="Arial" w:hAnsi="Bookman Old Style" w:cs="Arial"/>
          <w:lang w:val="en-IN"/>
        </w:rPr>
        <w:t>pyotp</w:t>
      </w:r>
      <w:proofErr w:type="spellEnd"/>
      <w:r w:rsidRPr="00F27FD1">
        <w:rPr>
          <w:rFonts w:ascii="Bookman Old Style" w:eastAsia="Arial" w:hAnsi="Bookman Old Style" w:cs="Arial"/>
          <w:lang w:val="en-IN"/>
        </w:rPr>
        <w:t> (TOTP), Leaflet.js, HTML/CSS.</w:t>
      </w:r>
    </w:p>
    <w:p w14:paraId="6F0410EE" w14:textId="77777777" w:rsidR="00F27FD1" w:rsidRPr="00F27FD1" w:rsidRDefault="00F27FD1" w:rsidP="00F27FD1">
      <w:pPr>
        <w:numPr>
          <w:ilvl w:val="0"/>
          <w:numId w:val="5"/>
        </w:numPr>
        <w:spacing w:line="360" w:lineRule="auto"/>
        <w:jc w:val="both"/>
        <w:rPr>
          <w:rFonts w:ascii="Bookman Old Style" w:eastAsia="Arial" w:hAnsi="Bookman Old Style" w:cs="Arial"/>
          <w:lang w:val="en-IN"/>
        </w:rPr>
      </w:pPr>
      <w:r w:rsidRPr="00F27FD1">
        <w:rPr>
          <w:rFonts w:ascii="Bookman Old Style" w:eastAsia="Arial" w:hAnsi="Bookman Old Style" w:cs="Arial"/>
          <w:b/>
          <w:bCs/>
          <w:lang w:val="en-IN"/>
        </w:rPr>
        <w:t>Operating System</w:t>
      </w:r>
      <w:r w:rsidRPr="00F27FD1">
        <w:rPr>
          <w:rFonts w:ascii="Bookman Old Style" w:eastAsia="Arial" w:hAnsi="Bookman Old Style" w:cs="Arial"/>
          <w:lang w:val="en-IN"/>
        </w:rPr>
        <w:t>: Windows 11 / Linux (Ubuntu) for development; any OS with a modern browser for client.</w:t>
      </w:r>
    </w:p>
    <w:p w14:paraId="0A0A780B" w14:textId="77777777" w:rsidR="00F27FD1" w:rsidRPr="00F27FD1" w:rsidRDefault="00F27FD1" w:rsidP="00F27FD1">
      <w:pPr>
        <w:numPr>
          <w:ilvl w:val="0"/>
          <w:numId w:val="5"/>
        </w:numPr>
        <w:spacing w:line="360" w:lineRule="auto"/>
        <w:jc w:val="both"/>
        <w:rPr>
          <w:rFonts w:ascii="Bookman Old Style" w:eastAsia="Arial" w:hAnsi="Bookman Old Style" w:cs="Arial"/>
          <w:lang w:val="en-IN"/>
        </w:rPr>
      </w:pPr>
      <w:r w:rsidRPr="00F27FD1">
        <w:rPr>
          <w:rFonts w:ascii="Bookman Old Style" w:eastAsia="Arial" w:hAnsi="Bookman Old Style" w:cs="Arial"/>
          <w:b/>
          <w:bCs/>
          <w:lang w:val="en-IN"/>
        </w:rPr>
        <w:lastRenderedPageBreak/>
        <w:t>Limitations</w:t>
      </w:r>
      <w:r w:rsidRPr="00F27FD1">
        <w:rPr>
          <w:rFonts w:ascii="Bookman Old Style" w:eastAsia="Arial" w:hAnsi="Bookman Old Style" w:cs="Arial"/>
          <w:lang w:val="en-IN"/>
        </w:rPr>
        <w:t>: The system relies on static city-to-coordinate mapping for the map display; live GPS integration is future work. The MFA is TOTP-based (no hardware tokens or biometrics). The system is web-only, no mobile application.</w:t>
      </w:r>
    </w:p>
    <w:p w14:paraId="225BD94A" w14:textId="77777777" w:rsidR="00F27FD1" w:rsidRDefault="00F27FD1" w:rsidP="00F27FD1">
      <w:pPr>
        <w:spacing w:line="360" w:lineRule="auto"/>
        <w:jc w:val="both"/>
        <w:rPr>
          <w:rFonts w:ascii="Bookman Old Style" w:eastAsia="Arial" w:hAnsi="Bookman Old Style" w:cs="Arial"/>
          <w:b/>
          <w:bCs/>
          <w:lang w:val="en-IN"/>
        </w:rPr>
      </w:pPr>
    </w:p>
    <w:p w14:paraId="4EAC01F5" w14:textId="328B3ACF" w:rsidR="00F27FD1" w:rsidRDefault="00F27FD1" w:rsidP="00F27FD1">
      <w:pPr>
        <w:spacing w:line="360" w:lineRule="auto"/>
        <w:ind w:left="720"/>
        <w:jc w:val="both"/>
        <w:rPr>
          <w:rFonts w:ascii="Bookman Old Style" w:eastAsia="Arial" w:hAnsi="Bookman Old Style" w:cs="Arial"/>
          <w:b/>
          <w:bCs/>
          <w:lang w:val="en-IN"/>
        </w:rPr>
      </w:pPr>
      <w:r w:rsidRPr="00F27FD1">
        <w:rPr>
          <w:rFonts w:ascii="Bookman Old Style" w:eastAsia="Arial" w:hAnsi="Bookman Old Style" w:cs="Arial"/>
          <w:b/>
          <w:bCs/>
          <w:lang w:val="en-IN"/>
        </w:rPr>
        <w:t>VIII. Testing Technologies used</w:t>
      </w:r>
    </w:p>
    <w:p w14:paraId="2DA6F100" w14:textId="77777777" w:rsidR="00F27FD1" w:rsidRPr="00F27FD1" w:rsidRDefault="00F27FD1" w:rsidP="00F27FD1">
      <w:pPr>
        <w:spacing w:line="360" w:lineRule="auto"/>
        <w:ind w:left="720"/>
        <w:jc w:val="both"/>
        <w:rPr>
          <w:rFonts w:ascii="Bookman Old Style" w:eastAsia="Arial" w:hAnsi="Bookman Old Style" w:cs="Arial"/>
          <w:b/>
          <w:bCs/>
          <w:lang w:val="en-IN"/>
        </w:rPr>
      </w:pPr>
    </w:p>
    <w:p w14:paraId="37D3E42E" w14:textId="77777777" w:rsidR="00F27FD1" w:rsidRPr="00F27FD1" w:rsidRDefault="00F27FD1" w:rsidP="00F27FD1">
      <w:pPr>
        <w:numPr>
          <w:ilvl w:val="0"/>
          <w:numId w:val="6"/>
        </w:numPr>
        <w:spacing w:line="360" w:lineRule="auto"/>
        <w:jc w:val="both"/>
        <w:rPr>
          <w:rFonts w:ascii="Bookman Old Style" w:eastAsia="Arial" w:hAnsi="Bookman Old Style" w:cs="Arial"/>
          <w:lang w:val="en-IN"/>
        </w:rPr>
      </w:pPr>
      <w:r w:rsidRPr="00F27FD1">
        <w:rPr>
          <w:rFonts w:ascii="Bookman Old Style" w:eastAsia="Arial" w:hAnsi="Bookman Old Style" w:cs="Arial"/>
          <w:b/>
          <w:bCs/>
          <w:lang w:val="en-IN"/>
        </w:rPr>
        <w:t>Unit Testing (White-box)</w:t>
      </w:r>
      <w:r w:rsidRPr="00F27FD1">
        <w:rPr>
          <w:rFonts w:ascii="Bookman Old Style" w:eastAsia="Arial" w:hAnsi="Bookman Old Style" w:cs="Arial"/>
          <w:lang w:val="en-IN"/>
        </w:rPr>
        <w:t>: 20 test cases covering password hashing, TOTP generation, Fernet encryption/decryption, and role checks. Conducted during development using </w:t>
      </w:r>
      <w:proofErr w:type="spellStart"/>
      <w:r w:rsidRPr="00F27FD1">
        <w:rPr>
          <w:rFonts w:ascii="Bookman Old Style" w:eastAsia="Arial" w:hAnsi="Bookman Old Style" w:cs="Arial"/>
          <w:lang w:val="en-IN"/>
        </w:rPr>
        <w:t>pytest</w:t>
      </w:r>
      <w:proofErr w:type="spellEnd"/>
      <w:r w:rsidRPr="00F27FD1">
        <w:rPr>
          <w:rFonts w:ascii="Bookman Old Style" w:eastAsia="Arial" w:hAnsi="Bookman Old Style" w:cs="Arial"/>
          <w:lang w:val="en-IN"/>
        </w:rPr>
        <w:t>.</w:t>
      </w:r>
    </w:p>
    <w:p w14:paraId="56E579D3" w14:textId="77777777" w:rsidR="00F27FD1" w:rsidRPr="00F27FD1" w:rsidRDefault="00F27FD1" w:rsidP="00F27FD1">
      <w:pPr>
        <w:numPr>
          <w:ilvl w:val="0"/>
          <w:numId w:val="6"/>
        </w:numPr>
        <w:spacing w:line="360" w:lineRule="auto"/>
        <w:jc w:val="both"/>
        <w:rPr>
          <w:rFonts w:ascii="Bookman Old Style" w:eastAsia="Arial" w:hAnsi="Bookman Old Style" w:cs="Arial"/>
          <w:lang w:val="en-IN"/>
        </w:rPr>
      </w:pPr>
      <w:r w:rsidRPr="00F27FD1">
        <w:rPr>
          <w:rFonts w:ascii="Bookman Old Style" w:eastAsia="Arial" w:hAnsi="Bookman Old Style" w:cs="Arial"/>
          <w:b/>
          <w:bCs/>
          <w:lang w:val="en-IN"/>
        </w:rPr>
        <w:t>Integration Testing (Black-box)</w:t>
      </w:r>
      <w:r w:rsidRPr="00F27FD1">
        <w:rPr>
          <w:rFonts w:ascii="Bookman Old Style" w:eastAsia="Arial" w:hAnsi="Bookman Old Style" w:cs="Arial"/>
          <w:lang w:val="en-IN"/>
        </w:rPr>
        <w:t>: 15 test cases for OAuth redirect flow, 2FA verification after login, and database encryption hooks. Conducted after module integration in Week 6.</w:t>
      </w:r>
    </w:p>
    <w:p w14:paraId="3C7F6793" w14:textId="77777777" w:rsidR="00F27FD1" w:rsidRPr="00F27FD1" w:rsidRDefault="00F27FD1" w:rsidP="00F27FD1">
      <w:pPr>
        <w:numPr>
          <w:ilvl w:val="0"/>
          <w:numId w:val="6"/>
        </w:numPr>
        <w:spacing w:line="360" w:lineRule="auto"/>
        <w:jc w:val="both"/>
        <w:rPr>
          <w:rFonts w:ascii="Bookman Old Style" w:eastAsia="Arial" w:hAnsi="Bookman Old Style" w:cs="Arial"/>
          <w:lang w:val="en-IN"/>
        </w:rPr>
      </w:pPr>
      <w:r w:rsidRPr="00F27FD1">
        <w:rPr>
          <w:rFonts w:ascii="Bookman Old Style" w:eastAsia="Arial" w:hAnsi="Bookman Old Style" w:cs="Arial"/>
          <w:b/>
          <w:bCs/>
          <w:lang w:val="en-IN"/>
        </w:rPr>
        <w:t>User Interface Testing</w:t>
      </w:r>
      <w:r w:rsidRPr="00F27FD1">
        <w:rPr>
          <w:rFonts w:ascii="Bookman Old Style" w:eastAsia="Arial" w:hAnsi="Bookman Old Style" w:cs="Arial"/>
          <w:lang w:val="en-IN"/>
        </w:rPr>
        <w:t>: Cross-browser verification (Chrome, Firefox) of the Leaflet map and dashboard layouts. 10 test cases for role-based menu visibility.</w:t>
      </w:r>
    </w:p>
    <w:p w14:paraId="7EB536A9" w14:textId="77777777" w:rsidR="00F27FD1" w:rsidRPr="00F27FD1" w:rsidRDefault="00F27FD1" w:rsidP="00F27FD1">
      <w:pPr>
        <w:numPr>
          <w:ilvl w:val="0"/>
          <w:numId w:val="6"/>
        </w:numPr>
        <w:spacing w:line="360" w:lineRule="auto"/>
        <w:jc w:val="both"/>
        <w:rPr>
          <w:rFonts w:ascii="Bookman Old Style" w:eastAsia="Arial" w:hAnsi="Bookman Old Style" w:cs="Arial"/>
          <w:lang w:val="en-IN"/>
        </w:rPr>
      </w:pPr>
      <w:r w:rsidRPr="00F27FD1">
        <w:rPr>
          <w:rFonts w:ascii="Bookman Old Style" w:eastAsia="Arial" w:hAnsi="Bookman Old Style" w:cs="Arial"/>
          <w:b/>
          <w:bCs/>
          <w:lang w:val="en-IN"/>
        </w:rPr>
        <w:t>System Integration Test</w:t>
      </w:r>
      <w:r w:rsidRPr="00F27FD1">
        <w:rPr>
          <w:rFonts w:ascii="Bookman Old Style" w:eastAsia="Arial" w:hAnsi="Bookman Old Style" w:cs="Arial"/>
          <w:lang w:val="en-IN"/>
        </w:rPr>
        <w:t>: Matching Supplier dispatch IDs with Logistics update actions to ensure audit trail integrity. Conducted before final submission.</w:t>
      </w:r>
    </w:p>
    <w:p w14:paraId="08FEDD72" w14:textId="77777777" w:rsidR="00F27FD1" w:rsidRPr="00F27FD1" w:rsidRDefault="00F27FD1" w:rsidP="00F27FD1">
      <w:pPr>
        <w:numPr>
          <w:ilvl w:val="0"/>
          <w:numId w:val="6"/>
        </w:numPr>
        <w:spacing w:line="360" w:lineRule="auto"/>
        <w:jc w:val="both"/>
        <w:rPr>
          <w:rFonts w:ascii="Bookman Old Style" w:eastAsia="Arial" w:hAnsi="Bookman Old Style" w:cs="Arial"/>
          <w:lang w:val="en-IN"/>
        </w:rPr>
      </w:pPr>
      <w:r w:rsidRPr="00F27FD1">
        <w:rPr>
          <w:rFonts w:ascii="Bookman Old Style" w:eastAsia="Arial" w:hAnsi="Bookman Old Style" w:cs="Arial"/>
          <w:b/>
          <w:bCs/>
          <w:lang w:val="en-IN"/>
        </w:rPr>
        <w:t>Schedule</w:t>
      </w:r>
      <w:r w:rsidRPr="00F27FD1">
        <w:rPr>
          <w:rFonts w:ascii="Bookman Old Style" w:eastAsia="Arial" w:hAnsi="Bookman Old Style" w:cs="Arial"/>
          <w:lang w:val="en-IN"/>
        </w:rPr>
        <w:t>: Unit tests – Week 5; Integration tests – Week 6; UAT – Week 7; Security validation – Week 8.</w:t>
      </w:r>
    </w:p>
    <w:p w14:paraId="2C3E1063" w14:textId="77777777" w:rsidR="00F27FD1" w:rsidRDefault="00F27FD1" w:rsidP="00F27FD1">
      <w:pPr>
        <w:spacing w:line="360" w:lineRule="auto"/>
        <w:jc w:val="both"/>
        <w:rPr>
          <w:rFonts w:ascii="Bookman Old Style" w:eastAsia="Arial" w:hAnsi="Bookman Old Style" w:cs="Arial"/>
          <w:b/>
          <w:bCs/>
          <w:lang w:val="en-IN"/>
        </w:rPr>
      </w:pPr>
    </w:p>
    <w:p w14:paraId="34820F32" w14:textId="38ABA74D" w:rsidR="00F27FD1" w:rsidRDefault="00F27FD1" w:rsidP="00F27FD1">
      <w:pPr>
        <w:spacing w:line="360" w:lineRule="auto"/>
        <w:ind w:left="360"/>
        <w:jc w:val="both"/>
        <w:rPr>
          <w:rFonts w:ascii="Bookman Old Style" w:eastAsia="Arial" w:hAnsi="Bookman Old Style" w:cs="Arial"/>
          <w:b/>
          <w:bCs/>
          <w:lang w:val="en-IN"/>
        </w:rPr>
      </w:pPr>
      <w:r w:rsidRPr="00F27FD1">
        <w:rPr>
          <w:rFonts w:ascii="Bookman Old Style" w:eastAsia="Arial" w:hAnsi="Bookman Old Style" w:cs="Arial"/>
          <w:b/>
          <w:bCs/>
          <w:lang w:val="en-IN"/>
        </w:rPr>
        <w:t>IX. Conclusion</w:t>
      </w:r>
    </w:p>
    <w:p w14:paraId="01005BFB" w14:textId="77777777" w:rsidR="00F27FD1" w:rsidRPr="00F27FD1" w:rsidRDefault="00F27FD1" w:rsidP="00F27FD1">
      <w:pPr>
        <w:spacing w:line="360" w:lineRule="auto"/>
        <w:ind w:left="360"/>
        <w:jc w:val="both"/>
        <w:rPr>
          <w:rFonts w:ascii="Bookman Old Style" w:eastAsia="Arial" w:hAnsi="Bookman Old Style" w:cs="Arial"/>
          <w:b/>
          <w:bCs/>
          <w:lang w:val="en-IN"/>
        </w:rPr>
      </w:pPr>
    </w:p>
    <w:p w14:paraId="7C8DAE27" w14:textId="77777777" w:rsidR="00F27FD1" w:rsidRPr="00F27FD1" w:rsidRDefault="00F27FD1" w:rsidP="00F27FD1">
      <w:pPr>
        <w:spacing w:line="360" w:lineRule="auto"/>
        <w:ind w:left="720"/>
        <w:jc w:val="both"/>
        <w:rPr>
          <w:rFonts w:ascii="Bookman Old Style" w:eastAsia="Arial" w:hAnsi="Bookman Old Style" w:cs="Arial"/>
          <w:lang w:val="en-IN"/>
        </w:rPr>
      </w:pPr>
      <w:r w:rsidRPr="00F27FD1">
        <w:rPr>
          <w:rFonts w:ascii="Bookman Old Style" w:eastAsia="Arial" w:hAnsi="Bookman Old Style" w:cs="Arial"/>
          <w:lang w:val="en-IN"/>
        </w:rPr>
        <w:t>Kinetic Forge demonstrates that logistical efficiency does not have to come at the cost of security. By intertwining Field-Level Encryption (Fernet) with Multi-Factor Authentication (TOTP + Google OAuth), the system provides a robust blueprint for modern, anti-hack logistical platforms. The innovation lies in the seamless fusion of real-time mapping with enterprise-grade identity security, making it stand out from traditional supply chain dashboards that often ignore data-at-rest protection.</w:t>
      </w:r>
    </w:p>
    <w:p w14:paraId="625F08D3" w14:textId="64077084" w:rsidR="00F27FD1" w:rsidRPr="00F27FD1" w:rsidRDefault="00F27FD1" w:rsidP="00F27FD1">
      <w:pPr>
        <w:spacing w:line="360" w:lineRule="auto"/>
        <w:jc w:val="both"/>
        <w:rPr>
          <w:rFonts w:ascii="Bookman Old Style" w:eastAsia="Arial" w:hAnsi="Bookman Old Style" w:cs="Arial"/>
          <w:lang w:val="en-IN"/>
        </w:rPr>
      </w:pPr>
    </w:p>
    <w:p w14:paraId="61CBA2EF" w14:textId="77777777" w:rsidR="00E17810" w:rsidRDefault="00E17810" w:rsidP="00EB0C75">
      <w:pPr>
        <w:jc w:val="both"/>
        <w:rPr>
          <w:rFonts w:ascii="Arial" w:eastAsia="Arial" w:hAnsi="Arial" w:cs="Arial"/>
          <w:i/>
          <w:sz w:val="22"/>
          <w:szCs w:val="22"/>
        </w:rPr>
      </w:pPr>
    </w:p>
    <w:p w14:paraId="5C36973E" w14:textId="77777777" w:rsidR="00EB0C75" w:rsidRDefault="00EB0C75" w:rsidP="00EB0C75">
      <w:pPr>
        <w:jc w:val="both"/>
      </w:pPr>
    </w:p>
    <w:p w14:paraId="35551F5C" w14:textId="77777777" w:rsidR="00EB0C75" w:rsidRDefault="00EB0C75" w:rsidP="00EB0C75">
      <w:pPr>
        <w:jc w:val="both"/>
      </w:pPr>
      <w:r>
        <w:br w:type="page"/>
      </w:r>
    </w:p>
    <w:p w14:paraId="3DDE6F2F" w14:textId="77777777" w:rsidR="00EB0C75" w:rsidRDefault="00EB0C75" w:rsidP="00EB0C75">
      <w:pPr>
        <w:jc w:val="both"/>
      </w:pPr>
      <w:r>
        <w:lastRenderedPageBreak/>
        <w:t xml:space="preserve"> </w:t>
      </w:r>
    </w:p>
    <w:sectPr w:rsidR="00EB0C75" w:rsidSect="00F27FD1">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611E"/>
    <w:multiLevelType w:val="multilevel"/>
    <w:tmpl w:val="EB7A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95413"/>
    <w:multiLevelType w:val="multilevel"/>
    <w:tmpl w:val="2B56D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9F7380"/>
    <w:multiLevelType w:val="multilevel"/>
    <w:tmpl w:val="732CE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F718CB"/>
    <w:multiLevelType w:val="multilevel"/>
    <w:tmpl w:val="D80E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0E4203"/>
    <w:multiLevelType w:val="multilevel"/>
    <w:tmpl w:val="79121BF0"/>
    <w:lvl w:ilvl="0">
      <w:start w:val="1"/>
      <w:numFmt w:val="upperRoman"/>
      <w:lvlText w:val="%1."/>
      <w:lvlJc w:val="left"/>
      <w:pPr>
        <w:ind w:left="1440" w:hanging="720"/>
      </w:pPr>
    </w:lvl>
    <w:lvl w:ilvl="1">
      <w:start w:val="1"/>
      <w:numFmt w:val="lowerLetter"/>
      <w:lvlText w:val="%2."/>
      <w:lvlJc w:val="left"/>
      <w:pPr>
        <w:ind w:left="2312" w:hanging="360"/>
      </w:pPr>
    </w:lvl>
    <w:lvl w:ilvl="2">
      <w:start w:val="1"/>
      <w:numFmt w:val="lowerRoman"/>
      <w:lvlText w:val="%3."/>
      <w:lvlJc w:val="right"/>
      <w:pPr>
        <w:ind w:left="3032" w:hanging="180"/>
      </w:pPr>
    </w:lvl>
    <w:lvl w:ilvl="3">
      <w:start w:val="1"/>
      <w:numFmt w:val="decimal"/>
      <w:lvlText w:val="%4."/>
      <w:lvlJc w:val="left"/>
      <w:pPr>
        <w:ind w:left="3752" w:hanging="360"/>
      </w:pPr>
    </w:lvl>
    <w:lvl w:ilvl="4">
      <w:start w:val="1"/>
      <w:numFmt w:val="lowerLetter"/>
      <w:lvlText w:val="%5."/>
      <w:lvlJc w:val="left"/>
      <w:pPr>
        <w:ind w:left="4472" w:hanging="360"/>
      </w:pPr>
    </w:lvl>
    <w:lvl w:ilvl="5">
      <w:start w:val="1"/>
      <w:numFmt w:val="lowerRoman"/>
      <w:lvlText w:val="%6."/>
      <w:lvlJc w:val="right"/>
      <w:pPr>
        <w:ind w:left="5192" w:hanging="180"/>
      </w:pPr>
    </w:lvl>
    <w:lvl w:ilvl="6">
      <w:start w:val="1"/>
      <w:numFmt w:val="decimal"/>
      <w:lvlText w:val="%7."/>
      <w:lvlJc w:val="left"/>
      <w:pPr>
        <w:ind w:left="5912" w:hanging="360"/>
      </w:pPr>
    </w:lvl>
    <w:lvl w:ilvl="7">
      <w:start w:val="1"/>
      <w:numFmt w:val="lowerLetter"/>
      <w:lvlText w:val="%8."/>
      <w:lvlJc w:val="left"/>
      <w:pPr>
        <w:ind w:left="6632" w:hanging="360"/>
      </w:pPr>
    </w:lvl>
    <w:lvl w:ilvl="8">
      <w:start w:val="1"/>
      <w:numFmt w:val="lowerRoman"/>
      <w:lvlText w:val="%9."/>
      <w:lvlJc w:val="right"/>
      <w:pPr>
        <w:ind w:left="7352" w:hanging="180"/>
      </w:pPr>
    </w:lvl>
  </w:abstractNum>
  <w:abstractNum w:abstractNumId="5" w15:restartNumberingAfterBreak="0">
    <w:nsid w:val="768A5360"/>
    <w:multiLevelType w:val="multilevel"/>
    <w:tmpl w:val="874E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402738">
    <w:abstractNumId w:val="4"/>
  </w:num>
  <w:num w:numId="2" w16cid:durableId="561212937">
    <w:abstractNumId w:val="1"/>
  </w:num>
  <w:num w:numId="3" w16cid:durableId="1998028089">
    <w:abstractNumId w:val="5"/>
  </w:num>
  <w:num w:numId="4" w16cid:durableId="837693082">
    <w:abstractNumId w:val="2"/>
  </w:num>
  <w:num w:numId="5" w16cid:durableId="996491717">
    <w:abstractNumId w:val="0"/>
  </w:num>
  <w:num w:numId="6" w16cid:durableId="2158937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810"/>
    <w:rsid w:val="00091C2D"/>
    <w:rsid w:val="002723F9"/>
    <w:rsid w:val="0054152A"/>
    <w:rsid w:val="009B7FAD"/>
    <w:rsid w:val="00AF2B25"/>
    <w:rsid w:val="00D9062B"/>
    <w:rsid w:val="00E17810"/>
    <w:rsid w:val="00EB0C75"/>
    <w:rsid w:val="00F27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4C11"/>
  <w15:docId w15:val="{835EEA78-81E4-4961-BB81-7FADCA26F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E2E"/>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EB0C75"/>
    <w:pPr>
      <w:ind w:left="720"/>
      <w:contextualSpacing/>
    </w:pPr>
  </w:style>
  <w:style w:type="paragraph" w:customStyle="1" w:styleId="isselectedend">
    <w:name w:val="isselectedend"/>
    <w:basedOn w:val="Normal"/>
    <w:rsid w:val="00EB0C75"/>
    <w:pPr>
      <w:spacing w:before="100" w:beforeAutospacing="1" w:after="100" w:afterAutospacing="1"/>
    </w:pPr>
    <w:rPr>
      <w:lang w:val="en-IN"/>
    </w:rPr>
  </w:style>
  <w:style w:type="character" w:styleId="Strong">
    <w:name w:val="Strong"/>
    <w:basedOn w:val="DefaultParagraphFont"/>
    <w:uiPriority w:val="22"/>
    <w:qFormat/>
    <w:rsid w:val="00EB0C75"/>
    <w:rPr>
      <w:b/>
      <w:bCs/>
    </w:rPr>
  </w:style>
  <w:style w:type="paragraph" w:styleId="NormalWeb">
    <w:name w:val="Normal (Web)"/>
    <w:basedOn w:val="Normal"/>
    <w:uiPriority w:val="99"/>
    <w:semiHidden/>
    <w:unhideWhenUsed/>
    <w:rsid w:val="00EB0C75"/>
    <w:pPr>
      <w:spacing w:before="100" w:beforeAutospacing="1" w:after="100" w:afterAutospacing="1"/>
    </w:pPr>
    <w:rPr>
      <w:lang w:val="en-IN"/>
    </w:rPr>
  </w:style>
  <w:style w:type="character" w:styleId="Hyperlink">
    <w:name w:val="Hyperlink"/>
    <w:basedOn w:val="DefaultParagraphFont"/>
    <w:uiPriority w:val="99"/>
    <w:unhideWhenUsed/>
    <w:rsid w:val="009B7FAD"/>
    <w:rPr>
      <w:color w:val="0000FF" w:themeColor="hyperlink"/>
      <w:u w:val="single"/>
    </w:rPr>
  </w:style>
  <w:style w:type="character" w:styleId="UnresolvedMention">
    <w:name w:val="Unresolved Mention"/>
    <w:basedOn w:val="DefaultParagraphFont"/>
    <w:uiPriority w:val="99"/>
    <w:semiHidden/>
    <w:unhideWhenUsed/>
    <w:rsid w:val="009B7F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6366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shycM1tefpaRNVAYGcQ5ALTAcRw==">AMUW2mVals0ULRqXLDuTnfjyx179t36W6Fvlrl37bcU1wwmvN3yzrUX0FJ0do1knys7aedHGtx7elhcKhZFjT9jFaQOUFru8af/FlF1FZer3UKBUaj3T7pM=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551DC49-E95B-4946-A356-9B3D9210D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795</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Srijana</dc:creator>
  <cp:lastModifiedBy>Giridhar pai</cp:lastModifiedBy>
  <cp:revision>2</cp:revision>
  <cp:lastPrinted>2026-04-11T18:49:00Z</cp:lastPrinted>
  <dcterms:created xsi:type="dcterms:W3CDTF">2026-04-11T18:51:00Z</dcterms:created>
  <dcterms:modified xsi:type="dcterms:W3CDTF">2026-04-11T18:51:00Z</dcterms:modified>
</cp:coreProperties>
</file>