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32"/>
        </w:rPr>
        <w:t>PRO-ACTIVE DRIVER MONITORING SYSTEM USING EEG —</w:t>
        <w:br/>
        <w:t>PREDICTING DROWSINESS 5–10 MINUTES IN ADVANCE</w:t>
        <w:br/>
        <w:t>USING MINIMAL OCCIPITAL SENSORS</w:t>
      </w:r>
    </w:p>
    <w:p/>
    <w:p>
      <w:pPr>
        <w:jc w:val="center"/>
      </w:pPr>
      <w:r>
        <w:rPr>
          <w:rFonts w:ascii="Times New Roman" w:hAnsi="Times New Roman"/>
          <w:sz w:val="24"/>
        </w:rPr>
        <w:t>A Capstone Project Report</w:t>
        <w:br/>
        <w:t>Submitted in partial fulfilment of the requirements for the degree of</w:t>
        <w:br/>
        <w:t>Bachelor of Technology</w:t>
      </w:r>
    </w:p>
    <w:p/>
    <w:p>
      <w:pPr>
        <w:jc w:val="center"/>
      </w:pPr>
      <w:r>
        <w:rPr>
          <w:sz w:val="24"/>
        </w:rPr>
        <w:t>by</w:t>
      </w:r>
    </w:p>
    <w:p/>
    <w:p>
      <w:pPr>
        <w:jc w:val="center"/>
      </w:pPr>
      <w:r>
        <w:rPr>
          <w:rFonts w:ascii="Times New Roman" w:hAnsi="Times New Roman"/>
          <w:b/>
          <w:sz w:val="26"/>
        </w:rPr>
        <w:t>MUHAMMED RASLAN THALASSERY — 22BMH1046</w:t>
        <w:br/>
        <w:t>SULAIMAN SHIYAS ALI — 22BME1021</w:t>
      </w:r>
    </w:p>
    <w:p/>
    <w:p>
      <w:pPr>
        <w:jc w:val="center"/>
      </w:pPr>
      <w:r>
        <w:rPr>
          <w:rFonts w:ascii="Times New Roman" w:hAnsi="Times New Roman"/>
          <w:sz w:val="24"/>
        </w:rPr>
        <w:t>Under the guidance of</w:t>
        <w:br/>
        <w:t>Dr. Abhishek Rudra Pal</w:t>
      </w:r>
    </w:p>
    <w:p/>
    <w:p/>
    <w:p/>
    <w:p>
      <w:pPr>
        <w:jc w:val="center"/>
      </w:pPr>
      <w:r>
        <w:rPr>
          <w:rFonts w:ascii="Times New Roman" w:hAnsi="Times New Roman"/>
          <w:b/>
          <w:sz w:val="24"/>
        </w:rPr>
        <w:t>SCHOOL OF MECHANICAL ENGINEERING</w:t>
        <w:br/>
        <w:t>VELLORE INSTITUTE OF TECHNOLOGY, CHENNAI</w:t>
        <w:br/>
        <w:t>April 2026</w:t>
      </w:r>
    </w:p>
    <w:p>
      <w:r>
        <w:br w:type="page"/>
      </w:r>
    </w:p>
    <w:p>
      <w:pPr>
        <w:spacing w:after="360"/>
        <w:jc w:val="center"/>
      </w:pPr>
      <w:r>
        <w:rPr>
          <w:rFonts w:ascii="Times New Roman" w:hAnsi="Times New Roman"/>
          <w:b/>
          <w:sz w:val="28"/>
        </w:rPr>
        <w:t>DECLARATION</w:t>
      </w:r>
    </w:p>
    <w:p>
      <w:pPr>
        <w:spacing w:line="360" w:lineRule="auto"/>
        <w:jc w:val="both"/>
      </w:pPr>
      <w:r>
        <w:rPr>
          <w:rFonts w:ascii="Times New Roman" w:hAnsi="Times New Roman"/>
          <w:sz w:val="24"/>
        </w:rPr>
        <w:t>We, Muhammed Raslan Thalassery (22BMH1046) and Sulaiman Shiyas Ali (22BME1021), hereby declare that the Capstone Project Report entitled "Pro-Active Driver Monitoring System Using EEG — Predicting Drowsiness 5–10 Minutes in Advance Using Minimal Occipital Sensors" submitted to the School of Mechanical Engineering, Vellore Institute of Technology, Chennai, in partial fulfilment of the requirements for the award of the degree of Bachelor of Technology, is a bona fide record of work carried out by us under the guidance of Dr. Abhishek Rudra Pal.</w:t>
      </w:r>
    </w:p>
    <w:p>
      <w:pPr>
        <w:spacing w:line="360" w:lineRule="auto"/>
        <w:jc w:val="both"/>
      </w:pPr>
      <w:r>
        <w:rPr>
          <w:rFonts w:ascii="Times New Roman" w:hAnsi="Times New Roman"/>
          <w:sz w:val="24"/>
        </w:rPr>
        <w:t>The results embodied in this report have not been submitted to any other university or institution for the award of any degree or diploma.</w:t>
      </w:r>
    </w:p>
    <w:p/>
    <w:p/>
    <w:p>
      <w:r>
        <w:rPr>
          <w:rFonts w:ascii="Times New Roman" w:hAnsi="Times New Roman"/>
          <w:sz w:val="24"/>
        </w:rPr>
        <w:t>Place: Chennai</w:t>
        <w:br/>
        <w:t>Date: April 2026</w:t>
      </w:r>
    </w:p>
    <w:p/>
    <w:p>
      <w:pPr>
        <w:jc w:val="right"/>
      </w:pPr>
      <w:r>
        <w:rPr>
          <w:rFonts w:ascii="Times New Roman" w:hAnsi="Times New Roman"/>
          <w:sz w:val="24"/>
        </w:rPr>
        <w:t>Muhammed Raslan Thalassery (22BMH1046)</w:t>
      </w:r>
    </w:p>
    <w:p>
      <w:pPr>
        <w:jc w:val="right"/>
      </w:pPr>
      <w:r>
        <w:rPr>
          <w:rFonts w:ascii="Times New Roman" w:hAnsi="Times New Roman"/>
          <w:sz w:val="24"/>
        </w:rPr>
        <w:t>Sulaiman Shiyas Ali (22BME1021)</w:t>
      </w:r>
    </w:p>
    <w:p>
      <w:r>
        <w:br w:type="page"/>
      </w:r>
    </w:p>
    <w:p>
      <w:pPr>
        <w:spacing w:after="360"/>
        <w:jc w:val="center"/>
      </w:pPr>
      <w:r>
        <w:rPr>
          <w:rFonts w:ascii="Times New Roman" w:hAnsi="Times New Roman"/>
          <w:b/>
          <w:sz w:val="28"/>
        </w:rPr>
        <w:t>CERTIFICATE</w:t>
      </w:r>
    </w:p>
    <w:p>
      <w:pPr>
        <w:spacing w:line="360" w:lineRule="auto"/>
        <w:jc w:val="both"/>
      </w:pPr>
      <w:r>
        <w:rPr>
          <w:rFonts w:ascii="Times New Roman" w:hAnsi="Times New Roman"/>
          <w:sz w:val="24"/>
        </w:rPr>
        <w:t>This is to certify that the Capstone Project Report entitled "Pro-Active Driver Monitoring System Using EEG — Predicting Drowsiness 5–10 Minutes in Advance Using Minimal Occipital Sensors" submitted by Muhammed Raslan Thalassery (22BMH1046) and Sulaiman Shiyas Ali (22BME1021) to the School of Mechanical Engineering, Vellore Institute of Technology, Chennai, in partial fulfilment of the requirements for the award of the degree of Bachelor of Technology, is a bona fide record of work carried out under my guidance and supervision.</w:t>
      </w:r>
    </w:p>
    <w:p>
      <w:pPr>
        <w:spacing w:line="360" w:lineRule="auto"/>
        <w:jc w:val="both"/>
      </w:pPr>
      <w:r>
        <w:rPr>
          <w:rFonts w:ascii="Times New Roman" w:hAnsi="Times New Roman"/>
          <w:sz w:val="24"/>
        </w:rPr>
        <w:t>The contents of this report have not been submitted to any other university or institution for the award of any degree or diploma.</w:t>
      </w:r>
    </w:p>
    <w:p/>
    <w:p/>
    <w:p/>
    <w:p>
      <w:r>
        <w:rPr>
          <w:rFonts w:ascii="Times New Roman" w:hAnsi="Times New Roman"/>
          <w:sz w:val="24"/>
        </w:rPr>
        <w:t>Dr. Abhishek Rudra Pal</w:t>
        <w:br/>
        <w:t>Project Guide</w:t>
        <w:br/>
        <w:t>School of Mechanical Engineering</w:t>
        <w:br/>
        <w:t>VIT Chennai</w:t>
      </w:r>
    </w:p>
    <w:p>
      <w:pPr>
        <w:jc w:val="right"/>
      </w:pPr>
      <w:r>
        <w:rPr>
          <w:rFonts w:ascii="Times New Roman" w:hAnsi="Times New Roman"/>
          <w:sz w:val="24"/>
        </w:rPr>
        <w:t>Internal Examiner</w:t>
        <w:tab/>
        <w:tab/>
        <w:tab/>
        <w:t>External Examiner</w:t>
      </w:r>
    </w:p>
    <w:p>
      <w:r>
        <w:br w:type="page"/>
      </w:r>
    </w:p>
    <w:p>
      <w:pPr>
        <w:spacing w:after="360"/>
        <w:jc w:val="center"/>
      </w:pPr>
      <w:r>
        <w:rPr>
          <w:rFonts w:ascii="Times New Roman" w:hAnsi="Times New Roman"/>
          <w:b/>
          <w:sz w:val="28"/>
        </w:rPr>
        <w:t>ABSTRACT</w:t>
      </w:r>
    </w:p>
    <w:p>
      <w:pPr>
        <w:spacing w:line="360" w:lineRule="auto"/>
        <w:jc w:val="both"/>
      </w:pPr>
      <w:r>
        <w:rPr>
          <w:rFonts w:ascii="Times New Roman" w:hAnsi="Times New Roman"/>
          <w:sz w:val="24"/>
        </w:rPr>
        <w:t>Driver drowsiness is a leading contributor to road traffic fatalities worldwide, accounting for approximately 20% of fatal accidents. Existing driver monitoring systems operate reactively, detecting drowsiness only after behavioural symptoms have manifested, thereby offering insufficient time for preventive intervention. This project presents a proactive driver monitoring system that predicts drowsiness onset 5–10 minutes in advance using electroencephalographic (EEG) signals acquired from only two occipital electrodes (O1 and O2) embedded in a standard vehicle headrest.</w:t>
      </w:r>
    </w:p>
    <w:p>
      <w:pPr>
        <w:spacing w:line="360" w:lineRule="auto"/>
        <w:jc w:val="both"/>
      </w:pPr>
      <w:r>
        <w:rPr>
          <w:rFonts w:ascii="Times New Roman" w:hAnsi="Times New Roman"/>
          <w:sz w:val="24"/>
        </w:rPr>
        <w:t>The system employs a 4th-order Butterworth bandpass filter (0.5–40 Hz) for signal preprocessing, followed by Welch's power spectral density estimation to extract theta (4–8 Hz) and alpha (8–13 Hz) band power within 60-second sliding windows. A Random Forest classifier trained on the DROZY clinical dataset (10 subjects, ~30 hours of EEG) achieved 89.54% classification accuracy with the 2-channel headrest configuration — only 1.95% below the 4-channel baseline (91.32%). The core innovation is a temporal trend extrapolation algorithm that applies linear regression to a rolling 5-minute history of the theta/alpha ratio, predicting when the drowsiness biomarker will breach a personalised threshold. Validation on DROZY Subject 07F demonstrated 27/27 critical drowsiness events detected with 0% critical false alarms and an average advance warning of 7–9 minutes. Cross-dataset exploration on SEED-VIG was also conducted. The graduated alert system (Yellow, Red, Critical) ensures timely driver intervention at an estimated hardware cost of $100–500, making it the first system to combine proactive temporal prediction with a headrest-embedded, minimal-sensor EEG configuration suitable for mass-market automotive deployment.</w:t>
      </w:r>
    </w:p>
    <w:p/>
    <w:p>
      <w:r>
        <w:rPr>
          <w:rFonts w:ascii="Times New Roman" w:hAnsi="Times New Roman"/>
          <w:b/>
          <w:sz w:val="24"/>
        </w:rPr>
        <w:t xml:space="preserve">Keywords: </w:t>
      </w:r>
      <w:r>
        <w:rPr>
          <w:rFonts w:ascii="Times New Roman" w:hAnsi="Times New Roman"/>
          <w:sz w:val="24"/>
        </w:rPr>
        <w:t>EEG, Drowsiness Detection, Driver Monitoring, Theta/Alpha Ratio, Random Forest, Proactive Prediction, Occipital Sensors, Vehicle Headrest</w:t>
      </w:r>
    </w:p>
    <w:p>
      <w:r>
        <w:br w:type="page"/>
      </w:r>
    </w:p>
    <w:p>
      <w:pPr>
        <w:spacing w:after="360"/>
        <w:jc w:val="center"/>
      </w:pPr>
      <w:r>
        <w:rPr>
          <w:rFonts w:ascii="Times New Roman" w:hAnsi="Times New Roman"/>
          <w:b/>
          <w:sz w:val="28"/>
        </w:rPr>
        <w:t>ACKNOWLEDGEMENT</w:t>
      </w:r>
    </w:p>
    <w:p>
      <w:pPr>
        <w:spacing w:line="360" w:lineRule="auto"/>
        <w:jc w:val="both"/>
      </w:pPr>
      <w:r>
        <w:rPr>
          <w:rFonts w:ascii="Times New Roman" w:hAnsi="Times New Roman"/>
          <w:sz w:val="24"/>
        </w:rPr>
        <w:t>We would like to express our sincere gratitude to our project guide, Dr. Abhishek Rudra Pal, School of Mechanical Engineering, VIT Chennai, for his invaluable guidance, encouragement, and constant support throughout this project. His expertise and constructive feedback were instrumental in shaping this work.</w:t>
      </w:r>
    </w:p>
    <w:p>
      <w:pPr>
        <w:spacing w:line="360" w:lineRule="auto"/>
        <w:jc w:val="both"/>
      </w:pPr>
      <w:r>
        <w:rPr>
          <w:rFonts w:ascii="Times New Roman" w:hAnsi="Times New Roman"/>
          <w:sz w:val="24"/>
        </w:rPr>
        <w:t>We extend our heartfelt thanks to the Head of the Department, School of Mechanical Engineering, VIT Chennai, for providing the necessary infrastructure and facilities to carry out this project.</w:t>
      </w:r>
    </w:p>
    <w:p>
      <w:pPr>
        <w:spacing w:line="360" w:lineRule="auto"/>
        <w:jc w:val="both"/>
      </w:pPr>
      <w:r>
        <w:rPr>
          <w:rFonts w:ascii="Times New Roman" w:hAnsi="Times New Roman"/>
          <w:sz w:val="24"/>
        </w:rPr>
        <w:t>We are grateful to the researchers at the University of Liège, Belgium, for making the DROZY dataset publicly available, and to the Shanghai Jiao Tong University for the SEED-VIG dataset, both of which were essential for the validation of this system.</w:t>
      </w:r>
    </w:p>
    <w:p>
      <w:pPr>
        <w:spacing w:line="360" w:lineRule="auto"/>
        <w:jc w:val="both"/>
      </w:pPr>
      <w:r>
        <w:rPr>
          <w:rFonts w:ascii="Times New Roman" w:hAnsi="Times New Roman"/>
          <w:sz w:val="24"/>
        </w:rPr>
        <w:t>We also thank the developers of the open-source tools and libraries — MNE-Python, scikit-learn, SciPy, and Streamlit — that made the signal processing and machine learning aspects of this project possible.</w:t>
      </w:r>
    </w:p>
    <w:p>
      <w:pPr>
        <w:spacing w:line="360" w:lineRule="auto"/>
        <w:jc w:val="both"/>
      </w:pPr>
      <w:r>
        <w:rPr>
          <w:rFonts w:ascii="Times New Roman" w:hAnsi="Times New Roman"/>
          <w:sz w:val="24"/>
        </w:rPr>
        <w:t>Finally, we wish to thank our families and friends for their unwavering support and encouragement throughout our academic journey.</w:t>
      </w:r>
    </w:p>
    <w:p/>
    <w:p>
      <w:pPr>
        <w:jc w:val="right"/>
      </w:pPr>
      <w:r>
        <w:rPr>
          <w:rFonts w:ascii="Times New Roman" w:hAnsi="Times New Roman"/>
          <w:sz w:val="24"/>
        </w:rPr>
        <w:t>Muhammed Raslan Thalassery</w:t>
        <w:br/>
        <w:t>Sulaiman Shiyas Ali</w:t>
      </w:r>
    </w:p>
    <w:p>
      <w:r>
        <w:br w:type="page"/>
      </w:r>
    </w:p>
    <w:p>
      <w:pPr>
        <w:spacing w:after="360"/>
        <w:jc w:val="center"/>
      </w:pPr>
      <w:r>
        <w:rPr>
          <w:rFonts w:ascii="Times New Roman" w:hAnsi="Times New Roman"/>
          <w:b/>
          <w:sz w:val="28"/>
        </w:rPr>
        <w:t>TABLE OF CONTENTS</w:t>
      </w:r>
    </w:p>
    <w:p>
      <w:pPr>
        <w:spacing w:line="360" w:lineRule="auto"/>
        <w:jc w:val="both"/>
      </w:pPr>
      <w:r>
        <w:rPr>
          <w:rFonts w:ascii="Times New Roman" w:hAnsi="Times New Roman"/>
          <w:sz w:val="24"/>
        </w:rPr>
        <w:t>[Generate Table of Contents in Microsoft Word: References → Table of Contents → Automatic Table]</w:t>
      </w:r>
    </w:p>
    <w:p>
      <w:r>
        <w:br w:type="page"/>
      </w:r>
    </w:p>
    <w:p>
      <w:pPr>
        <w:spacing w:after="360"/>
        <w:jc w:val="center"/>
      </w:pPr>
      <w:r>
        <w:rPr>
          <w:rFonts w:ascii="Times New Roman" w:hAnsi="Times New Roman"/>
          <w:b/>
          <w:sz w:val="28"/>
        </w:rPr>
        <w:t>LIST OF FIGURES</w:t>
      </w:r>
    </w:p>
    <w:p>
      <w:pPr>
        <w:spacing w:line="360" w:lineRule="auto"/>
        <w:jc w:val="both"/>
      </w:pPr>
      <w:r>
        <w:rPr>
          <w:rFonts w:ascii="Times New Roman" w:hAnsi="Times New Roman"/>
          <w:sz w:val="24"/>
        </w:rPr>
        <w:t>[Generate List of Figures in Microsoft Word: References → Insert Table of Figures → Select 'Figure' label]</w:t>
      </w:r>
    </w:p>
    <w:p>
      <w:r>
        <w:br w:type="page"/>
      </w:r>
    </w:p>
    <w:p>
      <w:pPr>
        <w:spacing w:after="360"/>
        <w:jc w:val="center"/>
      </w:pPr>
      <w:r>
        <w:rPr>
          <w:rFonts w:ascii="Times New Roman" w:hAnsi="Times New Roman"/>
          <w:b/>
          <w:sz w:val="28"/>
        </w:rPr>
        <w:t>LIST OF TABLES</w:t>
      </w:r>
    </w:p>
    <w:p>
      <w:pPr>
        <w:spacing w:line="360" w:lineRule="auto"/>
        <w:jc w:val="both"/>
      </w:pPr>
      <w:r>
        <w:rPr>
          <w:rFonts w:ascii="Times New Roman" w:hAnsi="Times New Roman"/>
          <w:sz w:val="24"/>
        </w:rPr>
        <w:t>[Generate List of Tables in Microsoft Word: References → Insert Table of Figures → Select 'Table' label]</w:t>
      </w:r>
    </w:p>
    <w:p>
      <w:r>
        <w:br w:type="page"/>
      </w:r>
    </w:p>
    <w:p>
      <w:pPr>
        <w:spacing w:after="360"/>
        <w:jc w:val="center"/>
      </w:pPr>
      <w:r>
        <w:rPr>
          <w:rFonts w:ascii="Times New Roman" w:hAnsi="Times New Roman"/>
          <w:b/>
          <w:sz w:val="28"/>
        </w:rPr>
        <w:t>NOMENCLATURE</w:t>
      </w:r>
    </w:p>
    <w:p>
      <w:pPr>
        <w:spacing w:before="240"/>
        <w:jc w:val="center"/>
      </w:pPr>
      <w:r>
        <w:rPr>
          <w:rFonts w:ascii="Times New Roman" w:hAnsi="Times New Roman"/>
          <w:b/>
          <w:sz w:val="20"/>
        </w:rPr>
        <w:t xml:space="preserve">Table : </w:t>
      </w:r>
    </w:p>
    <w:tbl>
      <w:tblPr>
        <w:tblStyle w:val="TableGrid"/>
        <w:tblW w:type="auto" w:w="0"/>
        <w:jc w:val="center"/>
        <w:tblLook w:firstColumn="1" w:firstRow="1" w:lastColumn="0" w:lastRow="0" w:noHBand="0" w:noVBand="1" w:val="04A0"/>
      </w:tblPr>
      <w:tblGrid>
        <w:gridCol w:w="4500"/>
        <w:gridCol w:w="4500"/>
      </w:tblGrid>
      <w:tr>
        <w:tc>
          <w:tcPr>
            <w:tcW w:type="dxa" w:w="4500"/>
          </w:tcPr>
          <w:p>
            <w:pPr>
              <w:jc w:val="center"/>
            </w:pPr>
            <w:r>
              <w:rPr>
                <w:rFonts w:ascii="Times New Roman" w:hAnsi="Times New Roman"/>
                <w:b/>
                <w:sz w:val="20"/>
              </w:rPr>
              <w:t>Symbol</w:t>
            </w:r>
          </w:p>
        </w:tc>
        <w:tc>
          <w:tcPr>
            <w:tcW w:type="dxa" w:w="4500"/>
          </w:tcPr>
          <w:p>
            <w:pPr>
              <w:jc w:val="center"/>
            </w:pPr>
            <w:r>
              <w:rPr>
                <w:rFonts w:ascii="Times New Roman" w:hAnsi="Times New Roman"/>
                <w:b/>
                <w:sz w:val="20"/>
              </w:rPr>
              <w:t>Description</w:t>
            </w:r>
          </w:p>
        </w:tc>
      </w:tr>
      <w:tr>
        <w:tc>
          <w:tcPr>
            <w:tcW w:type="dxa" w:w="4500"/>
          </w:tcPr>
          <w:p>
            <w:pPr>
              <w:jc w:val="center"/>
            </w:pPr>
            <w:r>
              <w:rPr>
                <w:rFonts w:ascii="Times New Roman" w:hAnsi="Times New Roman"/>
                <w:sz w:val="20"/>
              </w:rPr>
              <w:t>θ</w:t>
            </w:r>
          </w:p>
        </w:tc>
        <w:tc>
          <w:tcPr>
            <w:tcW w:type="dxa" w:w="4500"/>
          </w:tcPr>
          <w:p>
            <w:pPr>
              <w:jc w:val="center"/>
            </w:pPr>
            <w:r>
              <w:rPr>
                <w:rFonts w:ascii="Times New Roman" w:hAnsi="Times New Roman"/>
                <w:sz w:val="20"/>
              </w:rPr>
              <w:t>Theta band power (4–8 Hz)</w:t>
            </w:r>
          </w:p>
        </w:tc>
      </w:tr>
      <w:tr>
        <w:tc>
          <w:tcPr>
            <w:tcW w:type="dxa" w:w="4500"/>
          </w:tcPr>
          <w:p>
            <w:pPr>
              <w:jc w:val="center"/>
            </w:pPr>
            <w:r>
              <w:rPr>
                <w:rFonts w:ascii="Times New Roman" w:hAnsi="Times New Roman"/>
                <w:sz w:val="20"/>
              </w:rPr>
              <w:t>α</w:t>
            </w:r>
          </w:p>
        </w:tc>
        <w:tc>
          <w:tcPr>
            <w:tcW w:type="dxa" w:w="4500"/>
          </w:tcPr>
          <w:p>
            <w:pPr>
              <w:jc w:val="center"/>
            </w:pPr>
            <w:r>
              <w:rPr>
                <w:rFonts w:ascii="Times New Roman" w:hAnsi="Times New Roman"/>
                <w:sz w:val="20"/>
              </w:rPr>
              <w:t>Alpha band power (8–13 Hz)</w:t>
            </w:r>
          </w:p>
        </w:tc>
      </w:tr>
      <w:tr>
        <w:tc>
          <w:tcPr>
            <w:tcW w:type="dxa" w:w="4500"/>
          </w:tcPr>
          <w:p>
            <w:pPr>
              <w:jc w:val="center"/>
            </w:pPr>
            <w:r>
              <w:rPr>
                <w:rFonts w:ascii="Times New Roman" w:hAnsi="Times New Roman"/>
                <w:sz w:val="20"/>
              </w:rPr>
              <w:t>R</w:t>
            </w:r>
          </w:p>
        </w:tc>
        <w:tc>
          <w:tcPr>
            <w:tcW w:type="dxa" w:w="4500"/>
          </w:tcPr>
          <w:p>
            <w:pPr>
              <w:jc w:val="center"/>
            </w:pPr>
            <w:r>
              <w:rPr>
                <w:rFonts w:ascii="Times New Roman" w:hAnsi="Times New Roman"/>
                <w:sz w:val="20"/>
              </w:rPr>
              <w:t>Theta/Alpha ratio (drowsiness index)</w:t>
            </w:r>
          </w:p>
        </w:tc>
      </w:tr>
      <w:tr>
        <w:tc>
          <w:tcPr>
            <w:tcW w:type="dxa" w:w="4500"/>
          </w:tcPr>
          <w:p>
            <w:pPr>
              <w:jc w:val="center"/>
            </w:pPr>
            <w:r>
              <w:rPr>
                <w:rFonts w:ascii="Times New Roman" w:hAnsi="Times New Roman"/>
                <w:sz w:val="20"/>
              </w:rPr>
              <w:t>R_baseline</w:t>
            </w:r>
          </w:p>
        </w:tc>
        <w:tc>
          <w:tcPr>
            <w:tcW w:type="dxa" w:w="4500"/>
          </w:tcPr>
          <w:p>
            <w:pPr>
              <w:jc w:val="center"/>
            </w:pPr>
            <w:r>
              <w:rPr>
                <w:rFonts w:ascii="Times New Roman" w:hAnsi="Times New Roman"/>
                <w:sz w:val="20"/>
              </w:rPr>
              <w:t>Personal awake baseline ratio</w:t>
            </w:r>
          </w:p>
        </w:tc>
      </w:tr>
      <w:tr>
        <w:tc>
          <w:tcPr>
            <w:tcW w:type="dxa" w:w="4500"/>
          </w:tcPr>
          <w:p>
            <w:pPr>
              <w:jc w:val="center"/>
            </w:pPr>
            <w:r>
              <w:rPr>
                <w:rFonts w:ascii="Times New Roman" w:hAnsi="Times New Roman"/>
                <w:sz w:val="20"/>
              </w:rPr>
              <w:t>R_threshold</w:t>
            </w:r>
          </w:p>
        </w:tc>
        <w:tc>
          <w:tcPr>
            <w:tcW w:type="dxa" w:w="4500"/>
          </w:tcPr>
          <w:p>
            <w:pPr>
              <w:jc w:val="center"/>
            </w:pPr>
            <w:r>
              <w:rPr>
                <w:rFonts w:ascii="Times New Roman" w:hAnsi="Times New Roman"/>
                <w:sz w:val="20"/>
              </w:rPr>
              <w:t>Alert threshold = 1.5 × R_baseline</w:t>
            </w:r>
          </w:p>
        </w:tc>
      </w:tr>
      <w:tr>
        <w:tc>
          <w:tcPr>
            <w:tcW w:type="dxa" w:w="4500"/>
          </w:tcPr>
          <w:p>
            <w:pPr>
              <w:jc w:val="center"/>
            </w:pPr>
            <w:r>
              <w:rPr>
                <w:rFonts w:ascii="Times New Roman" w:hAnsi="Times New Roman"/>
                <w:sz w:val="20"/>
              </w:rPr>
              <w:t>t_remaining</w:t>
            </w:r>
          </w:p>
        </w:tc>
        <w:tc>
          <w:tcPr>
            <w:tcW w:type="dxa" w:w="4500"/>
          </w:tcPr>
          <w:p>
            <w:pPr>
              <w:jc w:val="center"/>
            </w:pPr>
            <w:r>
              <w:rPr>
                <w:rFonts w:ascii="Times New Roman" w:hAnsi="Times New Roman"/>
                <w:sz w:val="20"/>
              </w:rPr>
              <w:t>Predicted minutes until drowsiness onset</w:t>
            </w:r>
          </w:p>
        </w:tc>
      </w:tr>
      <w:tr>
        <w:tc>
          <w:tcPr>
            <w:tcW w:type="dxa" w:w="4500"/>
          </w:tcPr>
          <w:p>
            <w:pPr>
              <w:jc w:val="center"/>
            </w:pPr>
            <w:r>
              <w:rPr>
                <w:rFonts w:ascii="Times New Roman" w:hAnsi="Times New Roman"/>
                <w:sz w:val="20"/>
              </w:rPr>
              <w:t>m</w:t>
            </w:r>
          </w:p>
        </w:tc>
        <w:tc>
          <w:tcPr>
            <w:tcW w:type="dxa" w:w="4500"/>
          </w:tcPr>
          <w:p>
            <w:pPr>
              <w:jc w:val="center"/>
            </w:pPr>
            <w:r>
              <w:rPr>
                <w:rFonts w:ascii="Times New Roman" w:hAnsi="Times New Roman"/>
                <w:sz w:val="20"/>
              </w:rPr>
              <w:t>Linear regression slope of ratio trend</w:t>
            </w:r>
          </w:p>
        </w:tc>
      </w:tr>
      <w:tr>
        <w:tc>
          <w:tcPr>
            <w:tcW w:type="dxa" w:w="4500"/>
          </w:tcPr>
          <w:p>
            <w:pPr>
              <w:jc w:val="center"/>
            </w:pPr>
            <w:r>
              <w:rPr>
                <w:rFonts w:ascii="Times New Roman" w:hAnsi="Times New Roman"/>
                <w:sz w:val="20"/>
              </w:rPr>
              <w:t>fs</w:t>
            </w:r>
          </w:p>
        </w:tc>
        <w:tc>
          <w:tcPr>
            <w:tcW w:type="dxa" w:w="4500"/>
          </w:tcPr>
          <w:p>
            <w:pPr>
              <w:jc w:val="center"/>
            </w:pPr>
            <w:r>
              <w:rPr>
                <w:rFonts w:ascii="Times New Roman" w:hAnsi="Times New Roman"/>
                <w:sz w:val="20"/>
              </w:rPr>
              <w:t>Sampling frequency (128 Hz)</w:t>
            </w:r>
          </w:p>
        </w:tc>
      </w:tr>
      <w:tr>
        <w:tc>
          <w:tcPr>
            <w:tcW w:type="dxa" w:w="4500"/>
          </w:tcPr>
          <w:p>
            <w:pPr>
              <w:jc w:val="center"/>
            </w:pPr>
            <w:r>
              <w:rPr>
                <w:rFonts w:ascii="Times New Roman" w:hAnsi="Times New Roman"/>
                <w:sz w:val="20"/>
              </w:rPr>
              <w:t>N</w:t>
            </w:r>
          </w:p>
        </w:tc>
        <w:tc>
          <w:tcPr>
            <w:tcW w:type="dxa" w:w="4500"/>
          </w:tcPr>
          <w:p>
            <w:pPr>
              <w:jc w:val="center"/>
            </w:pPr>
            <w:r>
              <w:rPr>
                <w:rFonts w:ascii="Times New Roman" w:hAnsi="Times New Roman"/>
                <w:sz w:val="20"/>
              </w:rPr>
              <w:t>Window length in samples</w:t>
            </w:r>
          </w:p>
        </w:tc>
      </w:tr>
    </w:tbl>
    <w:p/>
    <w:p>
      <w:r>
        <w:br w:type="page"/>
      </w:r>
    </w:p>
    <w:p>
      <w:pPr>
        <w:spacing w:after="360"/>
        <w:jc w:val="center"/>
      </w:pPr>
      <w:r>
        <w:rPr>
          <w:rFonts w:ascii="Times New Roman" w:hAnsi="Times New Roman"/>
          <w:b/>
          <w:sz w:val="28"/>
        </w:rPr>
        <w:t>LIST OF ACRONYMS</w:t>
      </w:r>
    </w:p>
    <w:p>
      <w:pPr>
        <w:spacing w:before="240"/>
        <w:jc w:val="center"/>
      </w:pPr>
      <w:r>
        <w:rPr>
          <w:rFonts w:ascii="Times New Roman" w:hAnsi="Times New Roman"/>
          <w:b/>
          <w:sz w:val="20"/>
        </w:rPr>
        <w:t xml:space="preserve">Table : </w:t>
      </w:r>
    </w:p>
    <w:tbl>
      <w:tblPr>
        <w:tblStyle w:val="TableGrid"/>
        <w:tblW w:type="auto" w:w="0"/>
        <w:jc w:val="center"/>
        <w:tblLook w:firstColumn="1" w:firstRow="1" w:lastColumn="0" w:lastRow="0" w:noHBand="0" w:noVBand="1" w:val="04A0"/>
      </w:tblPr>
      <w:tblGrid>
        <w:gridCol w:w="4500"/>
        <w:gridCol w:w="4500"/>
      </w:tblGrid>
      <w:tr>
        <w:tc>
          <w:tcPr>
            <w:tcW w:type="dxa" w:w="4500"/>
          </w:tcPr>
          <w:p>
            <w:pPr>
              <w:jc w:val="center"/>
            </w:pPr>
            <w:r>
              <w:rPr>
                <w:rFonts w:ascii="Times New Roman" w:hAnsi="Times New Roman"/>
                <w:b/>
                <w:sz w:val="20"/>
              </w:rPr>
              <w:t>Acronym</w:t>
            </w:r>
          </w:p>
        </w:tc>
        <w:tc>
          <w:tcPr>
            <w:tcW w:type="dxa" w:w="4500"/>
          </w:tcPr>
          <w:p>
            <w:pPr>
              <w:jc w:val="center"/>
            </w:pPr>
            <w:r>
              <w:rPr>
                <w:rFonts w:ascii="Times New Roman" w:hAnsi="Times New Roman"/>
                <w:b/>
                <w:sz w:val="20"/>
              </w:rPr>
              <w:t>Meaning</w:t>
            </w:r>
          </w:p>
        </w:tc>
      </w:tr>
      <w:tr>
        <w:tc>
          <w:tcPr>
            <w:tcW w:type="dxa" w:w="4500"/>
          </w:tcPr>
          <w:p>
            <w:pPr>
              <w:jc w:val="center"/>
            </w:pPr>
            <w:r>
              <w:rPr>
                <w:rFonts w:ascii="Times New Roman" w:hAnsi="Times New Roman"/>
                <w:sz w:val="20"/>
              </w:rPr>
              <w:t>EEG</w:t>
            </w:r>
          </w:p>
        </w:tc>
        <w:tc>
          <w:tcPr>
            <w:tcW w:type="dxa" w:w="4500"/>
          </w:tcPr>
          <w:p>
            <w:pPr>
              <w:jc w:val="center"/>
            </w:pPr>
            <w:r>
              <w:rPr>
                <w:rFonts w:ascii="Times New Roman" w:hAnsi="Times New Roman"/>
                <w:sz w:val="20"/>
              </w:rPr>
              <w:t>Electroencephalography</w:t>
            </w:r>
          </w:p>
        </w:tc>
      </w:tr>
      <w:tr>
        <w:tc>
          <w:tcPr>
            <w:tcW w:type="dxa" w:w="4500"/>
          </w:tcPr>
          <w:p>
            <w:pPr>
              <w:jc w:val="center"/>
            </w:pPr>
            <w:r>
              <w:rPr>
                <w:rFonts w:ascii="Times New Roman" w:hAnsi="Times New Roman"/>
                <w:sz w:val="20"/>
              </w:rPr>
              <w:t>PSD</w:t>
            </w:r>
          </w:p>
        </w:tc>
        <w:tc>
          <w:tcPr>
            <w:tcW w:type="dxa" w:w="4500"/>
          </w:tcPr>
          <w:p>
            <w:pPr>
              <w:jc w:val="center"/>
            </w:pPr>
            <w:r>
              <w:rPr>
                <w:rFonts w:ascii="Times New Roman" w:hAnsi="Times New Roman"/>
                <w:sz w:val="20"/>
              </w:rPr>
              <w:t>Power Spectral Density</w:t>
            </w:r>
          </w:p>
        </w:tc>
      </w:tr>
      <w:tr>
        <w:tc>
          <w:tcPr>
            <w:tcW w:type="dxa" w:w="4500"/>
          </w:tcPr>
          <w:p>
            <w:pPr>
              <w:jc w:val="center"/>
            </w:pPr>
            <w:r>
              <w:rPr>
                <w:rFonts w:ascii="Times New Roman" w:hAnsi="Times New Roman"/>
                <w:sz w:val="20"/>
              </w:rPr>
              <w:t>RF</w:t>
            </w:r>
          </w:p>
        </w:tc>
        <w:tc>
          <w:tcPr>
            <w:tcW w:type="dxa" w:w="4500"/>
          </w:tcPr>
          <w:p>
            <w:pPr>
              <w:jc w:val="center"/>
            </w:pPr>
            <w:r>
              <w:rPr>
                <w:rFonts w:ascii="Times New Roman" w:hAnsi="Times New Roman"/>
                <w:sz w:val="20"/>
              </w:rPr>
              <w:t>Random Forest</w:t>
            </w:r>
          </w:p>
        </w:tc>
      </w:tr>
      <w:tr>
        <w:tc>
          <w:tcPr>
            <w:tcW w:type="dxa" w:w="4500"/>
          </w:tcPr>
          <w:p>
            <w:pPr>
              <w:jc w:val="center"/>
            </w:pPr>
            <w:r>
              <w:rPr>
                <w:rFonts w:ascii="Times New Roman" w:hAnsi="Times New Roman"/>
                <w:sz w:val="20"/>
              </w:rPr>
              <w:t>SNR</w:t>
            </w:r>
          </w:p>
        </w:tc>
        <w:tc>
          <w:tcPr>
            <w:tcW w:type="dxa" w:w="4500"/>
          </w:tcPr>
          <w:p>
            <w:pPr>
              <w:jc w:val="center"/>
            </w:pPr>
            <w:r>
              <w:rPr>
                <w:rFonts w:ascii="Times New Roman" w:hAnsi="Times New Roman"/>
                <w:sz w:val="20"/>
              </w:rPr>
              <w:t>Signal-to-Noise Ratio</w:t>
            </w:r>
          </w:p>
        </w:tc>
      </w:tr>
      <w:tr>
        <w:tc>
          <w:tcPr>
            <w:tcW w:type="dxa" w:w="4500"/>
          </w:tcPr>
          <w:p>
            <w:pPr>
              <w:jc w:val="center"/>
            </w:pPr>
            <w:r>
              <w:rPr>
                <w:rFonts w:ascii="Times New Roman" w:hAnsi="Times New Roman"/>
                <w:sz w:val="20"/>
              </w:rPr>
              <w:t>BPF</w:t>
            </w:r>
          </w:p>
        </w:tc>
        <w:tc>
          <w:tcPr>
            <w:tcW w:type="dxa" w:w="4500"/>
          </w:tcPr>
          <w:p>
            <w:pPr>
              <w:jc w:val="center"/>
            </w:pPr>
            <w:r>
              <w:rPr>
                <w:rFonts w:ascii="Times New Roman" w:hAnsi="Times New Roman"/>
                <w:sz w:val="20"/>
              </w:rPr>
              <w:t>Bandpass Filter</w:t>
            </w:r>
          </w:p>
        </w:tc>
      </w:tr>
      <w:tr>
        <w:tc>
          <w:tcPr>
            <w:tcW w:type="dxa" w:w="4500"/>
          </w:tcPr>
          <w:p>
            <w:pPr>
              <w:jc w:val="center"/>
            </w:pPr>
            <w:r>
              <w:rPr>
                <w:rFonts w:ascii="Times New Roman" w:hAnsi="Times New Roman"/>
                <w:sz w:val="20"/>
              </w:rPr>
              <w:t>O1, O2</w:t>
            </w:r>
          </w:p>
        </w:tc>
        <w:tc>
          <w:tcPr>
            <w:tcW w:type="dxa" w:w="4500"/>
          </w:tcPr>
          <w:p>
            <w:pPr>
              <w:jc w:val="center"/>
            </w:pPr>
            <w:r>
              <w:rPr>
                <w:rFonts w:ascii="Times New Roman" w:hAnsi="Times New Roman"/>
                <w:sz w:val="20"/>
              </w:rPr>
              <w:t>Occipital electrodes (left, right)</w:t>
            </w:r>
          </w:p>
        </w:tc>
      </w:tr>
      <w:tr>
        <w:tc>
          <w:tcPr>
            <w:tcW w:type="dxa" w:w="4500"/>
          </w:tcPr>
          <w:p>
            <w:pPr>
              <w:jc w:val="center"/>
            </w:pPr>
            <w:r>
              <w:rPr>
                <w:rFonts w:ascii="Times New Roman" w:hAnsi="Times New Roman"/>
                <w:sz w:val="20"/>
              </w:rPr>
              <w:t>ROC</w:t>
            </w:r>
          </w:p>
        </w:tc>
        <w:tc>
          <w:tcPr>
            <w:tcW w:type="dxa" w:w="4500"/>
          </w:tcPr>
          <w:p>
            <w:pPr>
              <w:jc w:val="center"/>
            </w:pPr>
            <w:r>
              <w:rPr>
                <w:rFonts w:ascii="Times New Roman" w:hAnsi="Times New Roman"/>
                <w:sz w:val="20"/>
              </w:rPr>
              <w:t>Receiver Operating Characteristic</w:t>
            </w:r>
          </w:p>
        </w:tc>
      </w:tr>
      <w:tr>
        <w:tc>
          <w:tcPr>
            <w:tcW w:type="dxa" w:w="4500"/>
          </w:tcPr>
          <w:p>
            <w:pPr>
              <w:jc w:val="center"/>
            </w:pPr>
            <w:r>
              <w:rPr>
                <w:rFonts w:ascii="Times New Roman" w:hAnsi="Times New Roman"/>
                <w:sz w:val="20"/>
              </w:rPr>
              <w:t>AUC</w:t>
            </w:r>
          </w:p>
        </w:tc>
        <w:tc>
          <w:tcPr>
            <w:tcW w:type="dxa" w:w="4500"/>
          </w:tcPr>
          <w:p>
            <w:pPr>
              <w:jc w:val="center"/>
            </w:pPr>
            <w:r>
              <w:rPr>
                <w:rFonts w:ascii="Times New Roman" w:hAnsi="Times New Roman"/>
                <w:sz w:val="20"/>
              </w:rPr>
              <w:t>Area Under the Curve</w:t>
            </w:r>
          </w:p>
        </w:tc>
      </w:tr>
      <w:tr>
        <w:tc>
          <w:tcPr>
            <w:tcW w:type="dxa" w:w="4500"/>
          </w:tcPr>
          <w:p>
            <w:pPr>
              <w:jc w:val="center"/>
            </w:pPr>
            <w:r>
              <w:rPr>
                <w:rFonts w:ascii="Times New Roman" w:hAnsi="Times New Roman"/>
                <w:sz w:val="20"/>
              </w:rPr>
              <w:t>SDG</w:t>
            </w:r>
          </w:p>
        </w:tc>
        <w:tc>
          <w:tcPr>
            <w:tcW w:type="dxa" w:w="4500"/>
          </w:tcPr>
          <w:p>
            <w:pPr>
              <w:jc w:val="center"/>
            </w:pPr>
            <w:r>
              <w:rPr>
                <w:rFonts w:ascii="Times New Roman" w:hAnsi="Times New Roman"/>
                <w:sz w:val="20"/>
              </w:rPr>
              <w:t>Sustainable Development Goal</w:t>
            </w:r>
          </w:p>
        </w:tc>
      </w:tr>
      <w:tr>
        <w:tc>
          <w:tcPr>
            <w:tcW w:type="dxa" w:w="4500"/>
          </w:tcPr>
          <w:p>
            <w:pPr>
              <w:jc w:val="center"/>
            </w:pPr>
            <w:r>
              <w:rPr>
                <w:rFonts w:ascii="Times New Roman" w:hAnsi="Times New Roman"/>
                <w:sz w:val="20"/>
              </w:rPr>
              <w:t>OEM</w:t>
            </w:r>
          </w:p>
        </w:tc>
        <w:tc>
          <w:tcPr>
            <w:tcW w:type="dxa" w:w="4500"/>
          </w:tcPr>
          <w:p>
            <w:pPr>
              <w:jc w:val="center"/>
            </w:pPr>
            <w:r>
              <w:rPr>
                <w:rFonts w:ascii="Times New Roman" w:hAnsi="Times New Roman"/>
                <w:sz w:val="20"/>
              </w:rPr>
              <w:t>Original Equipment Manufacturer</w:t>
            </w:r>
          </w:p>
        </w:tc>
      </w:tr>
      <w:tr>
        <w:tc>
          <w:tcPr>
            <w:tcW w:type="dxa" w:w="4500"/>
          </w:tcPr>
          <w:p>
            <w:pPr>
              <w:jc w:val="center"/>
            </w:pPr>
            <w:r>
              <w:rPr>
                <w:rFonts w:ascii="Times New Roman" w:hAnsi="Times New Roman"/>
                <w:sz w:val="20"/>
              </w:rPr>
              <w:t>FFT</w:t>
            </w:r>
          </w:p>
        </w:tc>
        <w:tc>
          <w:tcPr>
            <w:tcW w:type="dxa" w:w="4500"/>
          </w:tcPr>
          <w:p>
            <w:pPr>
              <w:jc w:val="center"/>
            </w:pPr>
            <w:r>
              <w:rPr>
                <w:rFonts w:ascii="Times New Roman" w:hAnsi="Times New Roman"/>
                <w:sz w:val="20"/>
              </w:rPr>
              <w:t>Fast Fourier Transform</w:t>
            </w:r>
          </w:p>
        </w:tc>
      </w:tr>
      <w:tr>
        <w:tc>
          <w:tcPr>
            <w:tcW w:type="dxa" w:w="4500"/>
          </w:tcPr>
          <w:p>
            <w:pPr>
              <w:jc w:val="center"/>
            </w:pPr>
            <w:r>
              <w:rPr>
                <w:rFonts w:ascii="Times New Roman" w:hAnsi="Times New Roman"/>
                <w:sz w:val="20"/>
              </w:rPr>
              <w:t>ADC</w:t>
            </w:r>
          </w:p>
        </w:tc>
        <w:tc>
          <w:tcPr>
            <w:tcW w:type="dxa" w:w="4500"/>
          </w:tcPr>
          <w:p>
            <w:pPr>
              <w:jc w:val="center"/>
            </w:pPr>
            <w:r>
              <w:rPr>
                <w:rFonts w:ascii="Times New Roman" w:hAnsi="Times New Roman"/>
                <w:sz w:val="20"/>
              </w:rPr>
              <w:t>Analogue-to-Digital Converter</w:t>
            </w:r>
          </w:p>
        </w:tc>
      </w:tr>
      <w:tr>
        <w:tc>
          <w:tcPr>
            <w:tcW w:type="dxa" w:w="4500"/>
          </w:tcPr>
          <w:p>
            <w:pPr>
              <w:jc w:val="center"/>
            </w:pPr>
            <w:r>
              <w:rPr>
                <w:rFonts w:ascii="Times New Roman" w:hAnsi="Times New Roman"/>
                <w:sz w:val="20"/>
              </w:rPr>
              <w:t>DMS</w:t>
            </w:r>
          </w:p>
        </w:tc>
        <w:tc>
          <w:tcPr>
            <w:tcW w:type="dxa" w:w="4500"/>
          </w:tcPr>
          <w:p>
            <w:pPr>
              <w:jc w:val="center"/>
            </w:pPr>
            <w:r>
              <w:rPr>
                <w:rFonts w:ascii="Times New Roman" w:hAnsi="Times New Roman"/>
                <w:sz w:val="20"/>
              </w:rPr>
              <w:t>Driver Monitoring System</w:t>
            </w:r>
          </w:p>
        </w:tc>
      </w:tr>
      <w:tr>
        <w:tc>
          <w:tcPr>
            <w:tcW w:type="dxa" w:w="4500"/>
          </w:tcPr>
          <w:p>
            <w:pPr>
              <w:jc w:val="center"/>
            </w:pPr>
            <w:r>
              <w:rPr>
                <w:rFonts w:ascii="Times New Roman" w:hAnsi="Times New Roman"/>
                <w:sz w:val="20"/>
              </w:rPr>
              <w:t>CAN</w:t>
            </w:r>
          </w:p>
        </w:tc>
        <w:tc>
          <w:tcPr>
            <w:tcW w:type="dxa" w:w="4500"/>
          </w:tcPr>
          <w:p>
            <w:pPr>
              <w:jc w:val="center"/>
            </w:pPr>
            <w:r>
              <w:rPr>
                <w:rFonts w:ascii="Times New Roman" w:hAnsi="Times New Roman"/>
                <w:sz w:val="20"/>
              </w:rPr>
              <w:t>Controller Area Network</w:t>
            </w:r>
          </w:p>
        </w:tc>
      </w:tr>
    </w:tbl>
    <w:p/>
    <w:p>
      <w:pPr>
        <w:pageBreakBefore/>
        <w:spacing w:before="480" w:after="240"/>
        <w:jc w:val="left"/>
      </w:pPr>
      <w:r>
        <w:rPr>
          <w:rFonts w:ascii="Times New Roman" w:hAnsi="Times New Roman"/>
          <w:b/>
          <w:sz w:val="32"/>
        </w:rPr>
        <w:t>CHAPTER 1</w:t>
      </w:r>
    </w:p>
    <w:p>
      <w:pPr>
        <w:spacing w:after="360"/>
        <w:jc w:val="left"/>
      </w:pPr>
      <w:r>
        <w:rPr>
          <w:rFonts w:ascii="Times New Roman" w:hAnsi="Times New Roman"/>
          <w:b/>
          <w:sz w:val="28"/>
        </w:rPr>
        <w:t>INTRODUCTION</w:t>
      </w:r>
    </w:p>
    <w:p>
      <w:pPr>
        <w:spacing w:before="280" w:after="160"/>
        <w:jc w:val="left"/>
      </w:pPr>
      <w:r>
        <w:rPr>
          <w:rFonts w:ascii="Times New Roman" w:hAnsi="Times New Roman"/>
          <w:b/>
          <w:sz w:val="26"/>
        </w:rPr>
        <w:t>1.1  Background</w:t>
      </w:r>
    </w:p>
    <w:p>
      <w:pPr>
        <w:spacing w:line="360" w:lineRule="auto"/>
        <w:jc w:val="both"/>
      </w:pPr>
      <w:r>
        <w:rPr>
          <w:rFonts w:ascii="Times New Roman" w:hAnsi="Times New Roman"/>
          <w:sz w:val="24"/>
        </w:rPr>
        <w:t>Road traffic accidents remain one of the leading causes of death and disability worldwide. According to the World Health Organization (WHO), approximately 1.35 million people die annually in road traffic crashes, with an additional 20–50 million sustaining non-fatal injuries [1]. Among the various contributing factors, driver drowsiness has been identified as a critical and preventable cause, accounting for an estimated 15–20% of all fatal road accidents across multiple national databases [2]. The European Transport Safety Council and the National Highway Traffic Safety Administration (NHTSA) in the United States have both reported that fatigue-related crashes disproportionately occur during monotonous highway driving and during circadian low periods, particularly between 2:00 AM and 6:00 AM [3].</w:t>
      </w:r>
    </w:p>
    <w:p>
      <w:pPr>
        <w:spacing w:line="360" w:lineRule="auto"/>
        <w:jc w:val="both"/>
      </w:pPr>
      <w:r>
        <w:rPr>
          <w:rFonts w:ascii="Times New Roman" w:hAnsi="Times New Roman"/>
          <w:sz w:val="24"/>
        </w:rPr>
        <w:t>The neurophysiological basis of drowsiness is well established in the clinical literature. As a driver transitions from an alert state toward sleep, characteristic changes occur in electroencephalographic (EEG) signals. Specifically, theta-band activity (4–8 Hz) increases progressively, reflecting the slowing of cortical processing associated with reduced vigilance [4]. Concurrently, alpha-band power (8–13 Hz) undergoes complex modulation — initially increasing during relaxed wakefulness and subsequently redistributing as the subject approaches sleep onset [5]. Beta-band activity (13–30 Hz), which is associated with active cognitive engagement and alertness, diminishes as drowsiness deepens. The ratio of theta power to alpha power (θ/α) has therefore been established as a robust composite biomarker for drowsiness estimation, as it simultaneously captures both the increase in slow-wave activity and the reduction in alert-state oscillations [6].</w:t>
      </w:r>
    </w:p>
    <w:p>
      <w:pPr>
        <w:spacing w:line="360" w:lineRule="auto"/>
        <w:jc w:val="both"/>
      </w:pPr>
      <w:r>
        <w:rPr>
          <w:rFonts w:ascii="Times New Roman" w:hAnsi="Times New Roman"/>
          <w:sz w:val="24"/>
        </w:rPr>
        <w:t>Existing driver monitoring systems (DMS) can be broadly categorised into three approaches: camera-based behavioural monitoring, physiological signal monitoring, and vehicle dynamics analysis. Camera-based systems, such as those deployed by Seeing Machines and Smart Eye across more than 370 vehicle models [7], detect drowsiness by tracking eyelid closure (PERCLOS), yaw frequency, and head pose. While commercially dominant, these systems are inherently reactive — they detect drowsiness only after its behavioural manifestations have become visible, leaving insufficient time for preventive action. Furthermore, camera-based systems are susceptible to limitations including poor lighting conditions, sunglasses, and privacy concerns associated with continuous facial imaging.</w:t>
      </w:r>
    </w:p>
    <w:p>
      <w:pPr>
        <w:spacing w:line="360" w:lineRule="auto"/>
        <w:jc w:val="both"/>
      </w:pPr>
      <w:r>
        <w:rPr>
          <w:rFonts w:ascii="Times New Roman" w:hAnsi="Times New Roman"/>
          <w:sz w:val="24"/>
        </w:rPr>
        <w:t>Physiological approaches, particularly EEG-based monitoring, offer a more direct measure of the neural substrates of drowsiness. However, traditional EEG systems require multi-channel electrode caps with conductive gel, making them impractical for consumer automotive applications. Recent advances in dry electrode technology and minimal-channel configurations have begun to address these barriers, but the field remains dominated by reactive classification paradigms that diagnose current drowsiness state rather than predicting future onset [8].</w:t>
      </w:r>
    </w:p>
    <w:p>
      <w:pPr>
        <w:spacing w:before="280" w:after="160"/>
        <w:jc w:val="left"/>
      </w:pPr>
      <w:r>
        <w:rPr>
          <w:rFonts w:ascii="Times New Roman" w:hAnsi="Times New Roman"/>
          <w:b/>
          <w:sz w:val="26"/>
        </w:rPr>
        <w:t>1.2  Problem Statement</w:t>
      </w:r>
    </w:p>
    <w:p>
      <w:pPr>
        <w:spacing w:line="360" w:lineRule="auto"/>
        <w:jc w:val="both"/>
      </w:pPr>
      <w:r>
        <w:rPr>
          <w:rFonts w:ascii="Times New Roman" w:hAnsi="Times New Roman"/>
          <w:sz w:val="24"/>
        </w:rPr>
        <w:t>Current driver drowsiness detection systems suffer from four critical limitations that collectively prevent effective proactive intervention:</w:t>
      </w:r>
    </w:p>
    <w:p>
      <w:pPr>
        <w:spacing w:line="360" w:lineRule="auto"/>
        <w:jc w:val="both"/>
      </w:pPr>
      <w:r>
        <w:rPr>
          <w:rFonts w:ascii="Times New Roman" w:hAnsi="Times New Roman"/>
          <w:sz w:val="24"/>
        </w:rPr>
        <w:t>First, existing systems are reactive rather than proactive. They detect drowsiness only after physiological or behavioural symptoms have already manifested, providing the driver with little to no actionable lead time. A system that merely confirms that a driver is currently drowsy adds limited safety value compared to one that warns 5–10 minutes before drowsiness becomes dangerous.</w:t>
      </w:r>
    </w:p>
    <w:p>
      <w:pPr>
        <w:spacing w:line="360" w:lineRule="auto"/>
        <w:jc w:val="both"/>
      </w:pPr>
      <w:r>
        <w:rPr>
          <w:rFonts w:ascii="Times New Roman" w:hAnsi="Times New Roman"/>
          <w:sz w:val="24"/>
        </w:rPr>
        <w:t>Second, most EEG-based research systems require multi-channel electrode configurations (8–32 channels or more), gel-based electrodes, and cumbersome headgear that no consumer driver would tolerate during routine driving. The gap between laboratory-grade EEG systems and practical automotive deployment remains substantial.</w:t>
      </w:r>
    </w:p>
    <w:p>
      <w:pPr>
        <w:spacing w:line="360" w:lineRule="auto"/>
        <w:jc w:val="both"/>
      </w:pPr>
      <w:r>
        <w:rPr>
          <w:rFonts w:ascii="Times New Roman" w:hAnsi="Times New Roman"/>
          <w:sz w:val="24"/>
        </w:rPr>
        <w:t>Third, no commercially available system integrates EEG sensors into the vehicle headrest in a passive, wearable-free configuration that operates transparently without requiring any action from the driver beyond sitting normally.</w:t>
      </w:r>
    </w:p>
    <w:p>
      <w:pPr>
        <w:spacing w:line="360" w:lineRule="auto"/>
        <w:jc w:val="both"/>
      </w:pPr>
      <w:r>
        <w:rPr>
          <w:rFonts w:ascii="Times New Roman" w:hAnsi="Times New Roman"/>
          <w:sz w:val="24"/>
        </w:rPr>
        <w:t>Fourth, the cost of existing physiological monitoring solutions ranges from $1,000 to over $10,000 per unit, placing them beyond the reach of mass-market automotive deployment. A viable consumer solution must achieve comparable accuracy at a cost of $100–500.</w:t>
      </w:r>
    </w:p>
    <w:p>
      <w:pPr>
        <w:spacing w:before="280" w:after="160"/>
        <w:jc w:val="left"/>
      </w:pPr>
      <w:r>
        <w:rPr>
          <w:rFonts w:ascii="Times New Roman" w:hAnsi="Times New Roman"/>
          <w:b/>
          <w:sz w:val="26"/>
        </w:rPr>
        <w:t>1.3  Proposed Solution</w:t>
      </w:r>
    </w:p>
    <w:p>
      <w:pPr>
        <w:spacing w:line="360" w:lineRule="auto"/>
        <w:jc w:val="both"/>
      </w:pPr>
      <w:r>
        <w:rPr>
          <w:rFonts w:ascii="Times New Roman" w:hAnsi="Times New Roman"/>
          <w:sz w:val="24"/>
        </w:rPr>
        <w:t>This project presents a proactive driver monitoring system that addresses all four limitations identified above. The system employs a headrest-embedded sensor configuration using only two dry silicone-textile EEG electrodes positioned at the O1 and O2 occipital sites according to the International 10-20 system. These electrodes make passive contact with the driver's scalp through hair, requiring no gel application or conscious action from the driver.</w:t>
      </w:r>
    </w:p>
    <w:p>
      <w:pPr>
        <w:spacing w:line="360" w:lineRule="auto"/>
        <w:jc w:val="both"/>
      </w:pPr>
      <w:r>
        <w:rPr>
          <w:rFonts w:ascii="Times New Roman" w:hAnsi="Times New Roman"/>
          <w:sz w:val="24"/>
        </w:rPr>
        <w:t>The signal processing pipeline comprises a 4th-order Butterworth bandpass filter (0.5–40 Hz) for preprocessing, followed by Welch's power spectral density estimation within 60-second sliding windows to extract theta (4–8 Hz) and alpha (8–13 Hz) band power features. A Random Forest classifier with 200 decision trees was trained and validated on the DROZY clinical dataset to perform binary classification between alert and drowsy states.</w:t>
      </w:r>
    </w:p>
    <w:p>
      <w:pPr>
        <w:spacing w:line="360" w:lineRule="auto"/>
        <w:jc w:val="both"/>
      </w:pPr>
      <w:r>
        <w:rPr>
          <w:rFonts w:ascii="Times New Roman" w:hAnsi="Times New Roman"/>
          <w:sz w:val="24"/>
        </w:rPr>
        <w:t>The core innovation of this system is a temporal trend extrapolation algorithm that maintains a rolling 5-minute history buffer of the theta/alpha ratio and applies linear regression to estimate the slope of the drowsiness trend. By extrapolating this trend forward, the system calculates the predicted time until the ratio crosses a personalised danger threshold (set at 1.5× the driver's awake baseline), thereby providing 5–10 minutes of advance warning. A graduated three-tier alert system (Yellow Warning at 10 minutes, Red Alert at 5 minutes, Critical at threshold breach) ensures appropriate and escalating driver notification.</w:t>
      </w:r>
    </w:p>
    <w:p>
      <w:pPr>
        <w:spacing w:before="280" w:after="160"/>
        <w:jc w:val="left"/>
      </w:pPr>
      <w:r>
        <w:rPr>
          <w:rFonts w:ascii="Times New Roman" w:hAnsi="Times New Roman"/>
          <w:b/>
          <w:sz w:val="26"/>
        </w:rPr>
        <w:t>1.4  Objectives</w:t>
      </w:r>
    </w:p>
    <w:p>
      <w:pPr>
        <w:spacing w:line="360" w:lineRule="auto"/>
        <w:jc w:val="both"/>
      </w:pPr>
      <w:r>
        <w:rPr>
          <w:rFonts w:ascii="Times New Roman" w:hAnsi="Times New Roman"/>
          <w:sz w:val="24"/>
        </w:rPr>
        <w:t>The specific objectives of this project were as follows:</w:t>
      </w:r>
    </w:p>
    <w:p>
      <w:pPr>
        <w:spacing w:line="360" w:lineRule="auto"/>
        <w:jc w:val="both"/>
      </w:pPr>
      <w:r>
        <w:rPr>
          <w:rFonts w:ascii="Times New Roman" w:hAnsi="Times New Roman"/>
          <w:sz w:val="24"/>
        </w:rPr>
        <w:t>1. To design a minimal 2-channel occipital EEG acquisition system concept embedded in a standard vehicle headrest using dry silicone-textile electrodes at the O1 and O2 positions.</w:t>
      </w:r>
    </w:p>
    <w:p>
      <w:pPr>
        <w:spacing w:line="360" w:lineRule="auto"/>
        <w:jc w:val="both"/>
      </w:pPr>
      <w:r>
        <w:rPr>
          <w:rFonts w:ascii="Times New Roman" w:hAnsi="Times New Roman"/>
          <w:sz w:val="24"/>
        </w:rPr>
        <w:t>2. To develop a real-time signal processing pipeline incorporating a 4th-order Butterworth bandpass filter and Welch's PSD method to extract theta and alpha band power as drowsiness biomarkers.</w:t>
      </w:r>
    </w:p>
    <w:p>
      <w:pPr>
        <w:spacing w:line="360" w:lineRule="auto"/>
        <w:jc w:val="both"/>
      </w:pPr>
      <w:r>
        <w:rPr>
          <w:rFonts w:ascii="Times New Roman" w:hAnsi="Times New Roman"/>
          <w:sz w:val="24"/>
        </w:rPr>
        <w:t>3. To train and validate a Random Forest classifier achieving ≥85% accuracy on the DROZY clinical dataset, with supplementary cross-dataset exploration on SEED-VIG.</w:t>
      </w:r>
    </w:p>
    <w:p>
      <w:pPr>
        <w:spacing w:line="360" w:lineRule="auto"/>
        <w:jc w:val="both"/>
      </w:pPr>
      <w:r>
        <w:rPr>
          <w:rFonts w:ascii="Times New Roman" w:hAnsi="Times New Roman"/>
          <w:sz w:val="24"/>
        </w:rPr>
        <w:t>4. To implement a linear regression-based proactive extrapolation algorithm capable of predicting drowsiness onset 5–10 minutes in advance and triggering a graduated 3-tier alert system.</w:t>
      </w:r>
    </w:p>
    <w:p>
      <w:pPr>
        <w:spacing w:before="280" w:after="160"/>
        <w:jc w:val="left"/>
      </w:pPr>
      <w:r>
        <w:rPr>
          <w:rFonts w:ascii="Times New Roman" w:hAnsi="Times New Roman"/>
          <w:b/>
          <w:sz w:val="26"/>
        </w:rPr>
        <w:t>1.5  Scope of the Project</w:t>
      </w:r>
    </w:p>
    <w:p>
      <w:pPr>
        <w:spacing w:line="360" w:lineRule="auto"/>
        <w:jc w:val="both"/>
      </w:pPr>
      <w:r>
        <w:rPr>
          <w:rFonts w:ascii="Times New Roman" w:hAnsi="Times New Roman"/>
          <w:sz w:val="24"/>
        </w:rPr>
        <w:t>This project encompassed the development and validation of the complete algorithmic pipeline from raw EEG signal acquisition through to drowsiness prediction and alert generation. The scope included: signal preprocessing and filtering, frequency-domain feature extraction, machine learning classification, temporal trend analysis, prediction algorithm design, and alert system specification. Validation was performed on the DROZY clinical dataset (10 subjects, ~30 hours of EEG) with supplementary exploration on the SEED-VIG dataset (23 subjects).</w:t>
      </w:r>
    </w:p>
    <w:p>
      <w:pPr>
        <w:spacing w:line="360" w:lineRule="auto"/>
        <w:jc w:val="both"/>
      </w:pPr>
      <w:r>
        <w:rPr>
          <w:rFonts w:ascii="Times New Roman" w:hAnsi="Times New Roman"/>
          <w:sz w:val="24"/>
        </w:rPr>
        <w:t>The following aspects were outside the scope of this project: fabrication of a physical headrest prototype, clinical trials with human subjects using the headrest hardware, real-time embedded system implementation on a microcontroller, and regulatory certification. The hardware design was presented as a conceptual specification suitable for future prototyping.</w:t>
      </w:r>
    </w:p>
    <w:p>
      <w:pPr>
        <w:spacing w:before="280" w:after="160"/>
        <w:jc w:val="left"/>
      </w:pPr>
      <w:r>
        <w:rPr>
          <w:rFonts w:ascii="Times New Roman" w:hAnsi="Times New Roman"/>
          <w:b/>
          <w:sz w:val="26"/>
        </w:rPr>
        <w:t>1.6  Organisation of the Report</w:t>
      </w:r>
    </w:p>
    <w:p>
      <w:pPr>
        <w:spacing w:line="360" w:lineRule="auto"/>
        <w:jc w:val="both"/>
      </w:pPr>
      <w:r>
        <w:rPr>
          <w:rFonts w:ascii="Times New Roman" w:hAnsi="Times New Roman"/>
          <w:sz w:val="24"/>
        </w:rPr>
        <w:t>This report is organised into six chapters. Chapter 1 provides the introduction, background, problem statement, and objectives. Chapter 2 presents a comprehensive review of related literature covering EEG-based drowsiness detection, minimal-channel configurations, machine learning classifiers, and existing driver monitoring systems. Chapter 3 formally defines the problem and objectives with alignment to the United Nations Sustainable Development Goals. Chapter 4 details the complete methodology including dataset description, signal processing pipeline, feature extraction, machine learning classification, the prediction algorithm, and the alert system design. Chapter 5 presents and discusses the results, including classification performance, prediction validation, cross-dataset exploration, and comparison with existing systems. Chapter 6 concludes the report with a summary of achievements, technical challenges encountered, scalability considerations, and recommendations for future work.</w:t>
      </w:r>
    </w:p>
    <w:p>
      <w:pPr>
        <w:pageBreakBefore/>
        <w:spacing w:before="480" w:after="240"/>
        <w:jc w:val="left"/>
      </w:pPr>
      <w:r>
        <w:rPr>
          <w:rFonts w:ascii="Times New Roman" w:hAnsi="Times New Roman"/>
          <w:b/>
          <w:sz w:val="32"/>
        </w:rPr>
        <w:t>CHAPTER 2</w:t>
      </w:r>
    </w:p>
    <w:p>
      <w:pPr>
        <w:spacing w:after="360"/>
        <w:jc w:val="left"/>
      </w:pPr>
      <w:r>
        <w:rPr>
          <w:rFonts w:ascii="Times New Roman" w:hAnsi="Times New Roman"/>
          <w:b/>
          <w:sz w:val="28"/>
        </w:rPr>
        <w:t>REVIEW OF LITERATURE</w:t>
      </w:r>
    </w:p>
    <w:p>
      <w:pPr>
        <w:spacing w:before="280" w:after="160"/>
        <w:jc w:val="left"/>
      </w:pPr>
      <w:r>
        <w:rPr>
          <w:rFonts w:ascii="Times New Roman" w:hAnsi="Times New Roman"/>
          <w:b/>
          <w:sz w:val="26"/>
        </w:rPr>
        <w:t>2.1  EEG-Based Drowsiness Detection</w:t>
      </w:r>
    </w:p>
    <w:p>
      <w:pPr>
        <w:spacing w:line="360" w:lineRule="auto"/>
        <w:jc w:val="both"/>
      </w:pPr>
      <w:r>
        <w:rPr>
          <w:rFonts w:ascii="Times New Roman" w:hAnsi="Times New Roman"/>
          <w:sz w:val="24"/>
        </w:rPr>
        <w:t>Electroencephalography has been extensively investigated as a modality for drowsiness detection owing to its direct measurement of cortical neural activity. Stancin et al. [4] presented a comprehensive review of EEG signal features used in driver drowsiness detection systems, surveying over 100 studies published between 2010 and 2021. The review identified theta-band power, alpha-band power, and their various ratios as the most consistently effective features across studies, with classification accuracies ranging from 75% to 98% depending on the number of channels, feature set, and classifier employed. The authors noted that the field was converging toward frequency-domain features computed via power spectral density methods, particularly Welch's periodogram, as the preferred feature extraction approach.</w:t>
      </w:r>
    </w:p>
    <w:p>
      <w:pPr>
        <w:spacing w:line="360" w:lineRule="auto"/>
        <w:jc w:val="both"/>
      </w:pPr>
      <w:r>
        <w:rPr>
          <w:rFonts w:ascii="Times New Roman" w:hAnsi="Times New Roman"/>
          <w:sz w:val="24"/>
        </w:rPr>
        <w:t>Jap et al. [6] conducted one of the most highly cited studies in this domain (948 citations), systematically evaluating multiple EEG spectral ratio algorithms including (θ+α)/β, α/β, and θ/β for drowsiness assessment. Their work established that spectral power ratios were superior to absolute band powers for drowsiness classification, as ratios inherently normalise inter-subject variability. This finding directly informed the present project's use of the theta/alpha ratio as the primary drowsiness biomarker.</w:t>
      </w:r>
    </w:p>
    <w:p>
      <w:pPr>
        <w:spacing w:line="360" w:lineRule="auto"/>
        <w:jc w:val="both"/>
      </w:pPr>
      <w:r>
        <w:rPr>
          <w:rFonts w:ascii="Times New Roman" w:hAnsi="Times New Roman"/>
          <w:sz w:val="24"/>
        </w:rPr>
        <w:t>Sahayadhas et al. [3] provided an early but influential review of sensor-based drowsiness detection approaches, comparing EEG-based methods with other physiological signals including electrooculography (EOG), electromyography (EMG), and electrocardiography (ECG). The review concluded that EEG offered the highest sensitivity to drowsiness onset but noted the practical barrier of multi-channel, gel-based electrode systems for real-world deployment.</w:t>
      </w:r>
    </w:p>
    <w:p>
      <w:pPr>
        <w:spacing w:before="280" w:after="160"/>
        <w:jc w:val="left"/>
      </w:pPr>
      <w:r>
        <w:rPr>
          <w:rFonts w:ascii="Times New Roman" w:hAnsi="Times New Roman"/>
          <w:b/>
          <w:sz w:val="26"/>
        </w:rPr>
        <w:t>2.2  Theta/Alpha Ratio as a Drowsiness Biomarker</w:t>
      </w:r>
    </w:p>
    <w:p>
      <w:pPr>
        <w:spacing w:line="360" w:lineRule="auto"/>
        <w:jc w:val="both"/>
      </w:pPr>
      <w:r>
        <w:rPr>
          <w:rFonts w:ascii="Times New Roman" w:hAnsi="Times New Roman"/>
          <w:sz w:val="24"/>
        </w:rPr>
        <w:t>The neurophysiological rationale for the theta/alpha ratio as a drowsiness biomarker rests on two well-established phenomena. First, theta-band power (4–8 Hz) increases progressively as cortical arousal decreases, reflecting the transition from active wakefulness toward the hypnagogic state preceding sleep onset [6]. Second, alpha-band power (8–13 Hz), which is dominant during relaxed wakefulness, undergoes redistribution during the drowsiness process. The ratio θ/α therefore amplifies both effects simultaneously — a rising numerator and a changing denominator — producing a biomarker with greater sensitivity than either band power alone.</w:t>
      </w:r>
    </w:p>
    <w:p>
      <w:pPr>
        <w:spacing w:line="360" w:lineRule="auto"/>
        <w:jc w:val="both"/>
      </w:pPr>
      <w:r>
        <w:rPr>
          <w:rFonts w:ascii="Times New Roman" w:hAnsi="Times New Roman"/>
          <w:sz w:val="24"/>
        </w:rPr>
        <w:t>Gangadharan and Vinod [9] investigated drowsiness detection using portable wireless EEG devices and reported that temporal and occipital electrode sites provided more significant drowsiness-related features compared to frontal sites. This finding is particularly relevant to the present project, as it validates the choice of O1 and O2 occipital electrodes for a headrest-based system where the occipital region naturally contacts the headrest surface.</w:t>
      </w:r>
    </w:p>
    <w:p>
      <w:pPr>
        <w:spacing w:before="280" w:after="160"/>
        <w:jc w:val="left"/>
      </w:pPr>
      <w:r>
        <w:rPr>
          <w:rFonts w:ascii="Times New Roman" w:hAnsi="Times New Roman"/>
          <w:b/>
          <w:sz w:val="26"/>
        </w:rPr>
        <w:t>2.3  Minimal-Channel EEG for Fatigue Detection</w:t>
      </w:r>
    </w:p>
    <w:p>
      <w:pPr>
        <w:spacing w:line="360" w:lineRule="auto"/>
        <w:jc w:val="both"/>
      </w:pPr>
      <w:r>
        <w:rPr>
          <w:rFonts w:ascii="Times New Roman" w:hAnsi="Times New Roman"/>
          <w:sz w:val="24"/>
        </w:rPr>
        <w:t>The feasibility of drowsiness detection with reduced electrode configurations has been a growing area of research. LaRocco et al. [8] reviewed low-cost EEG headsets for drowsiness detection and established an 80% accuracy threshold as the minimum requirement for a viable drowsiness detection system. Their analysis of commercial devices including the NeuroSky MindWave (single-channel), Emotiv EPOC (14-channel), and OpenBCI (8–16 channel) revealed a clear trade-off between sensor count and classification performance, with diminishing returns beyond 4–8 channels for binary drowsiness classification.</w:t>
      </w:r>
    </w:p>
    <w:p>
      <w:pPr>
        <w:spacing w:line="360" w:lineRule="auto"/>
        <w:jc w:val="both"/>
      </w:pPr>
      <w:r>
        <w:rPr>
          <w:rFonts w:ascii="Times New Roman" w:hAnsi="Times New Roman"/>
          <w:sz w:val="24"/>
        </w:rPr>
        <w:t>Balam [10] presented a systematic review of single-channel EEG-based drowsiness detection approaches in the IEEE Transactions on Intelligent Transportation Systems. The review found that single-channel systems typically achieved 70–82% accuracy, which falls below the 85% threshold required for safety-critical applications. However, the review noted that 2-channel configurations could achieve significantly higher accuracy by leveraging bilateral signal redundancy. The present project's 2-channel O1/O2 configuration represents this optimal balance — achieving 89.54% accuracy while maintaining the simplicity required for headrest integration.</w:t>
      </w:r>
    </w:p>
    <w:p>
      <w:pPr>
        <w:spacing w:before="280" w:after="160"/>
        <w:jc w:val="left"/>
      </w:pPr>
      <w:r>
        <w:rPr>
          <w:rFonts w:ascii="Times New Roman" w:hAnsi="Times New Roman"/>
          <w:b/>
          <w:sz w:val="26"/>
        </w:rPr>
        <w:t>2.4  Machine Learning Classifiers for EEG-Based Drowsiness Detection</w:t>
      </w:r>
    </w:p>
    <w:p>
      <w:pPr>
        <w:spacing w:line="360" w:lineRule="auto"/>
        <w:jc w:val="both"/>
      </w:pPr>
      <w:r>
        <w:rPr>
          <w:rFonts w:ascii="Times New Roman" w:hAnsi="Times New Roman"/>
          <w:sz w:val="24"/>
        </w:rPr>
        <w:t>A variety of machine learning classifiers have been applied to EEG-based drowsiness detection. Jeong et al. [11] proposed a deep spatio-temporal convolutional bidirectional LSTM network for multi-level drowsiness classification, achieving high accuracy but requiring substantial computational resources unsuitable for embedded automotive deployment. Cheng et al. [12] explored temporal EEG imaging for drowsy driving prediction using linear combinations of temporal image sequences, representing one of the few studies to explicitly address prediction rather than current-state detection.</w:t>
      </w:r>
    </w:p>
    <w:p>
      <w:pPr>
        <w:spacing w:line="360" w:lineRule="auto"/>
        <w:jc w:val="both"/>
      </w:pPr>
      <w:r>
        <w:rPr>
          <w:rFonts w:ascii="Times New Roman" w:hAnsi="Times New Roman"/>
          <w:sz w:val="24"/>
        </w:rPr>
        <w:t>Random Forest classifiers have been widely adopted for EEG classification tasks due to their robustness to overfitting, interpretable feature importance rankings, and suitability for real-time deployment with low computational overhead. Chowdhury et al. [5] reviewed sensor applications for driver monitoring and confirmed that ensemble methods, particularly Random Forests, consistently performed well on frequency-domain EEG features, achieving accuracies comparable to deep learning approaches but with significantly lower inference times (&lt;50 ms per classification).</w:t>
      </w:r>
    </w:p>
    <w:p>
      <w:pPr>
        <w:spacing w:before="280" w:after="160"/>
        <w:jc w:val="left"/>
      </w:pPr>
      <w:r>
        <w:rPr>
          <w:rFonts w:ascii="Times New Roman" w:hAnsi="Times New Roman"/>
          <w:b/>
          <w:sz w:val="26"/>
        </w:rPr>
        <w:t>2.5  Existing Driver Monitoring Systems</w:t>
      </w:r>
    </w:p>
    <w:p>
      <w:pPr>
        <w:spacing w:line="360" w:lineRule="auto"/>
        <w:jc w:val="both"/>
      </w:pPr>
      <w:r>
        <w:rPr>
          <w:rFonts w:ascii="Times New Roman" w:hAnsi="Times New Roman"/>
          <w:sz w:val="24"/>
        </w:rPr>
        <w:t>The commercial driver monitoring landscape is currently dominated by camera-based systems. Seeing Machines and Smart Eye together serve more than 390 vehicle models across 24 OEMs, using infrared cameras to track eye closure percentage (PERCLOS), yaw frequency, and head pose [7]. These systems are reactive, detecting current drowsiness state based on observable behavioural symptoms. While camera systems have achieved regulatory acceptance under EU Regulation 2019/2144 (which mandates driver drowsiness warning systems for new vehicles from 2024), they offer no advance prediction capability.</w:t>
      </w:r>
    </w:p>
    <w:p>
      <w:pPr>
        <w:spacing w:line="360" w:lineRule="auto"/>
        <w:jc w:val="both"/>
      </w:pPr>
      <w:r>
        <w:rPr>
          <w:rFonts w:ascii="Times New Roman" w:hAnsi="Times New Roman"/>
          <w:sz w:val="24"/>
        </w:rPr>
        <w:t>In the EEG domain, the Neurovigil patent (US12446811B2, 2025) [13] represents the most directly competing technology, claiming a multi-modal biosignal integration system with headrest-embedded electrodes for real-time alertness prediction. However, the Neurovigil system employs EEG, EOG, and EMG sensors simultaneously, relies on generic "real-time prediction" (likely reactive classification), and does not claim a specific advance prediction timeline. The Toyota patent (US11091168B2, 2021) [14] describes a headrest-integrated magnetoencephalography (MEG) system for drowsiness detection, but MEG technology costs exceed $10,000 per unit and requires magnetic shielding, making it impractical for mass-market deployment.</w:t>
      </w:r>
    </w:p>
    <w:p>
      <w:pPr>
        <w:spacing w:before="240"/>
        <w:jc w:val="center"/>
      </w:pPr>
      <w:r>
        <w:rPr>
          <w:rFonts w:ascii="Times New Roman" w:hAnsi="Times New Roman"/>
          <w:b/>
          <w:sz w:val="20"/>
        </w:rPr>
        <w:t>Table 2.1: Comparison of the Proposed System with Existing Driver Monitoring Technologies</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800"/>
          </w:tcPr>
          <w:p>
            <w:pPr>
              <w:jc w:val="center"/>
            </w:pPr>
            <w:r>
              <w:rPr>
                <w:rFonts w:ascii="Times New Roman" w:hAnsi="Times New Roman"/>
                <w:b/>
                <w:sz w:val="20"/>
              </w:rPr>
              <w:t>Feature</w:t>
            </w:r>
          </w:p>
        </w:tc>
        <w:tc>
          <w:tcPr>
            <w:tcW w:type="dxa" w:w="1800"/>
          </w:tcPr>
          <w:p>
            <w:pPr>
              <w:jc w:val="center"/>
            </w:pPr>
            <w:r>
              <w:rPr>
                <w:rFonts w:ascii="Times New Roman" w:hAnsi="Times New Roman"/>
                <w:b/>
                <w:sz w:val="20"/>
              </w:rPr>
              <w:t>Our System</w:t>
            </w:r>
          </w:p>
        </w:tc>
        <w:tc>
          <w:tcPr>
            <w:tcW w:type="dxa" w:w="1800"/>
          </w:tcPr>
          <w:p>
            <w:pPr>
              <w:jc w:val="center"/>
            </w:pPr>
            <w:r>
              <w:rPr>
                <w:rFonts w:ascii="Times New Roman" w:hAnsi="Times New Roman"/>
                <w:b/>
                <w:sz w:val="20"/>
              </w:rPr>
              <w:t>Neurovigil (2025)</w:t>
            </w:r>
          </w:p>
        </w:tc>
        <w:tc>
          <w:tcPr>
            <w:tcW w:type="dxa" w:w="1800"/>
          </w:tcPr>
          <w:p>
            <w:pPr>
              <w:jc w:val="center"/>
            </w:pPr>
            <w:r>
              <w:rPr>
                <w:rFonts w:ascii="Times New Roman" w:hAnsi="Times New Roman"/>
                <w:b/>
                <w:sz w:val="20"/>
              </w:rPr>
              <w:t>Toyota MEG (2021)</w:t>
            </w:r>
          </w:p>
        </w:tc>
        <w:tc>
          <w:tcPr>
            <w:tcW w:type="dxa" w:w="1800"/>
          </w:tcPr>
          <w:p>
            <w:pPr>
              <w:jc w:val="center"/>
            </w:pPr>
            <w:r>
              <w:rPr>
                <w:rFonts w:ascii="Times New Roman" w:hAnsi="Times New Roman"/>
                <w:b/>
                <w:sz w:val="20"/>
              </w:rPr>
              <w:t>Camera Systems</w:t>
            </w:r>
          </w:p>
        </w:tc>
      </w:tr>
      <w:tr>
        <w:tc>
          <w:tcPr>
            <w:tcW w:type="dxa" w:w="1800"/>
          </w:tcPr>
          <w:p>
            <w:pPr>
              <w:jc w:val="center"/>
            </w:pPr>
            <w:r>
              <w:rPr>
                <w:rFonts w:ascii="Times New Roman" w:hAnsi="Times New Roman"/>
                <w:sz w:val="20"/>
              </w:rPr>
              <w:t>Prediction</w:t>
            </w:r>
          </w:p>
        </w:tc>
        <w:tc>
          <w:tcPr>
            <w:tcW w:type="dxa" w:w="1800"/>
          </w:tcPr>
          <w:p>
            <w:pPr>
              <w:jc w:val="center"/>
            </w:pPr>
            <w:r>
              <w:rPr>
                <w:rFonts w:ascii="Times New Roman" w:hAnsi="Times New Roman"/>
                <w:sz w:val="20"/>
              </w:rPr>
              <w:t>5–10 min advance</w:t>
            </w:r>
          </w:p>
        </w:tc>
        <w:tc>
          <w:tcPr>
            <w:tcW w:type="dxa" w:w="1800"/>
          </w:tcPr>
          <w:p>
            <w:pPr>
              <w:jc w:val="center"/>
            </w:pPr>
            <w:r>
              <w:rPr>
                <w:rFonts w:ascii="Times New Roman" w:hAnsi="Times New Roman"/>
                <w:sz w:val="20"/>
              </w:rPr>
              <w:t>Generic 'prediction'</w:t>
            </w:r>
          </w:p>
        </w:tc>
        <w:tc>
          <w:tcPr>
            <w:tcW w:type="dxa" w:w="1800"/>
          </w:tcPr>
          <w:p>
            <w:pPr>
              <w:jc w:val="center"/>
            </w:pPr>
            <w:r>
              <w:rPr>
                <w:rFonts w:ascii="Times New Roman" w:hAnsi="Times New Roman"/>
                <w:sz w:val="20"/>
              </w:rPr>
              <w:t>Current state only</w:t>
            </w:r>
          </w:p>
        </w:tc>
        <w:tc>
          <w:tcPr>
            <w:tcW w:type="dxa" w:w="1800"/>
          </w:tcPr>
          <w:p>
            <w:pPr>
              <w:jc w:val="center"/>
            </w:pPr>
            <w:r>
              <w:rPr>
                <w:rFonts w:ascii="Times New Roman" w:hAnsi="Times New Roman"/>
                <w:sz w:val="20"/>
              </w:rPr>
              <w:t>Current state only</w:t>
            </w:r>
          </w:p>
        </w:tc>
      </w:tr>
      <w:tr>
        <w:tc>
          <w:tcPr>
            <w:tcW w:type="dxa" w:w="1800"/>
          </w:tcPr>
          <w:p>
            <w:pPr>
              <w:jc w:val="center"/>
            </w:pPr>
            <w:r>
              <w:rPr>
                <w:rFonts w:ascii="Times New Roman" w:hAnsi="Times New Roman"/>
                <w:sz w:val="20"/>
              </w:rPr>
              <w:t>Sensors</w:t>
            </w:r>
          </w:p>
        </w:tc>
        <w:tc>
          <w:tcPr>
            <w:tcW w:type="dxa" w:w="1800"/>
          </w:tcPr>
          <w:p>
            <w:pPr>
              <w:jc w:val="center"/>
            </w:pPr>
            <w:r>
              <w:rPr>
                <w:rFonts w:ascii="Times New Roman" w:hAnsi="Times New Roman"/>
                <w:sz w:val="20"/>
              </w:rPr>
              <w:t>O1 + O2 (headrest)</w:t>
            </w:r>
          </w:p>
        </w:tc>
        <w:tc>
          <w:tcPr>
            <w:tcW w:type="dxa" w:w="1800"/>
          </w:tcPr>
          <w:p>
            <w:pPr>
              <w:jc w:val="center"/>
            </w:pPr>
            <w:r>
              <w:rPr>
                <w:rFonts w:ascii="Times New Roman" w:hAnsi="Times New Roman"/>
                <w:sz w:val="20"/>
              </w:rPr>
              <w:t>EEG+EOG+EMG</w:t>
            </w:r>
          </w:p>
        </w:tc>
        <w:tc>
          <w:tcPr>
            <w:tcW w:type="dxa" w:w="1800"/>
          </w:tcPr>
          <w:p>
            <w:pPr>
              <w:jc w:val="center"/>
            </w:pPr>
            <w:r>
              <w:rPr>
                <w:rFonts w:ascii="Times New Roman" w:hAnsi="Times New Roman"/>
                <w:sz w:val="20"/>
              </w:rPr>
              <w:t>MEG (lab-grade)</w:t>
            </w:r>
          </w:p>
        </w:tc>
        <w:tc>
          <w:tcPr>
            <w:tcW w:type="dxa" w:w="1800"/>
          </w:tcPr>
          <w:p>
            <w:pPr>
              <w:jc w:val="center"/>
            </w:pPr>
            <w:r>
              <w:rPr>
                <w:rFonts w:ascii="Times New Roman" w:hAnsi="Times New Roman"/>
                <w:sz w:val="20"/>
              </w:rPr>
              <w:t>Camera</w:t>
            </w:r>
          </w:p>
        </w:tc>
      </w:tr>
      <w:tr>
        <w:tc>
          <w:tcPr>
            <w:tcW w:type="dxa" w:w="1800"/>
          </w:tcPr>
          <w:p>
            <w:pPr>
              <w:jc w:val="center"/>
            </w:pPr>
            <w:r>
              <w:rPr>
                <w:rFonts w:ascii="Times New Roman" w:hAnsi="Times New Roman"/>
                <w:sz w:val="20"/>
              </w:rPr>
              <w:t>Form Factor</w:t>
            </w:r>
          </w:p>
        </w:tc>
        <w:tc>
          <w:tcPr>
            <w:tcW w:type="dxa" w:w="1800"/>
          </w:tcPr>
          <w:p>
            <w:pPr>
              <w:jc w:val="center"/>
            </w:pPr>
            <w:r>
              <w:rPr>
                <w:rFonts w:ascii="Times New Roman" w:hAnsi="Times New Roman"/>
                <w:sz w:val="20"/>
              </w:rPr>
              <w:t>Headrest</w:t>
            </w:r>
          </w:p>
        </w:tc>
        <w:tc>
          <w:tcPr>
            <w:tcW w:type="dxa" w:w="1800"/>
          </w:tcPr>
          <w:p>
            <w:pPr>
              <w:jc w:val="center"/>
            </w:pPr>
            <w:r>
              <w:rPr>
                <w:rFonts w:ascii="Times New Roman" w:hAnsi="Times New Roman"/>
                <w:sz w:val="20"/>
              </w:rPr>
              <w:t>Headrest/Wearable</w:t>
            </w:r>
          </w:p>
        </w:tc>
        <w:tc>
          <w:tcPr>
            <w:tcW w:type="dxa" w:w="1800"/>
          </w:tcPr>
          <w:p>
            <w:pPr>
              <w:jc w:val="center"/>
            </w:pPr>
            <w:r>
              <w:rPr>
                <w:rFonts w:ascii="Times New Roman" w:hAnsi="Times New Roman"/>
                <w:sz w:val="20"/>
              </w:rPr>
              <w:t>Headrest</w:t>
            </w:r>
          </w:p>
        </w:tc>
        <w:tc>
          <w:tcPr>
            <w:tcW w:type="dxa" w:w="1800"/>
          </w:tcPr>
          <w:p>
            <w:pPr>
              <w:jc w:val="center"/>
            </w:pPr>
            <w:r>
              <w:rPr>
                <w:rFonts w:ascii="Times New Roman" w:hAnsi="Times New Roman"/>
                <w:sz w:val="20"/>
              </w:rPr>
              <w:t>Dashboard</w:t>
            </w:r>
          </w:p>
        </w:tc>
      </w:tr>
      <w:tr>
        <w:tc>
          <w:tcPr>
            <w:tcW w:type="dxa" w:w="1800"/>
          </w:tcPr>
          <w:p>
            <w:pPr>
              <w:jc w:val="center"/>
            </w:pPr>
            <w:r>
              <w:rPr>
                <w:rFonts w:ascii="Times New Roman" w:hAnsi="Times New Roman"/>
                <w:sz w:val="20"/>
              </w:rPr>
              <w:t>Cost</w:t>
            </w:r>
          </w:p>
        </w:tc>
        <w:tc>
          <w:tcPr>
            <w:tcW w:type="dxa" w:w="1800"/>
          </w:tcPr>
          <w:p>
            <w:pPr>
              <w:jc w:val="center"/>
            </w:pPr>
            <w:r>
              <w:rPr>
                <w:rFonts w:ascii="Times New Roman" w:hAnsi="Times New Roman"/>
                <w:sz w:val="20"/>
              </w:rPr>
              <w:t>$100–500</w:t>
            </w:r>
          </w:p>
        </w:tc>
        <w:tc>
          <w:tcPr>
            <w:tcW w:type="dxa" w:w="1800"/>
          </w:tcPr>
          <w:p>
            <w:pPr>
              <w:jc w:val="center"/>
            </w:pPr>
            <w:r>
              <w:rPr>
                <w:rFonts w:ascii="Times New Roman" w:hAnsi="Times New Roman"/>
                <w:sz w:val="20"/>
              </w:rPr>
              <w:t>$1,000+</w:t>
            </w:r>
          </w:p>
        </w:tc>
        <w:tc>
          <w:tcPr>
            <w:tcW w:type="dxa" w:w="1800"/>
          </w:tcPr>
          <w:p>
            <w:pPr>
              <w:jc w:val="center"/>
            </w:pPr>
            <w:r>
              <w:rPr>
                <w:rFonts w:ascii="Times New Roman" w:hAnsi="Times New Roman"/>
                <w:sz w:val="20"/>
              </w:rPr>
              <w:t>$10,000+</w:t>
            </w:r>
          </w:p>
        </w:tc>
        <w:tc>
          <w:tcPr>
            <w:tcW w:type="dxa" w:w="1800"/>
          </w:tcPr>
          <w:p>
            <w:pPr>
              <w:jc w:val="center"/>
            </w:pPr>
            <w:r>
              <w:rPr>
                <w:rFonts w:ascii="Times New Roman" w:hAnsi="Times New Roman"/>
                <w:sz w:val="20"/>
              </w:rPr>
              <w:t>$200–1,000</w:t>
            </w:r>
          </w:p>
        </w:tc>
      </w:tr>
      <w:tr>
        <w:tc>
          <w:tcPr>
            <w:tcW w:type="dxa" w:w="1800"/>
          </w:tcPr>
          <w:p>
            <w:pPr>
              <w:jc w:val="center"/>
            </w:pPr>
            <w:r>
              <w:rPr>
                <w:rFonts w:ascii="Times New Roman" w:hAnsi="Times New Roman"/>
                <w:sz w:val="20"/>
              </w:rPr>
              <w:t>Accuracy</w:t>
            </w:r>
          </w:p>
        </w:tc>
        <w:tc>
          <w:tcPr>
            <w:tcW w:type="dxa" w:w="1800"/>
          </w:tcPr>
          <w:p>
            <w:pPr>
              <w:jc w:val="center"/>
            </w:pPr>
            <w:r>
              <w:rPr>
                <w:rFonts w:ascii="Times New Roman" w:hAnsi="Times New Roman"/>
                <w:sz w:val="20"/>
              </w:rPr>
              <w:t>89.54%</w:t>
            </w:r>
          </w:p>
        </w:tc>
        <w:tc>
          <w:tcPr>
            <w:tcW w:type="dxa" w:w="1800"/>
          </w:tcPr>
          <w:p>
            <w:pPr>
              <w:jc w:val="center"/>
            </w:pPr>
            <w:r>
              <w:rPr>
                <w:rFonts w:ascii="Times New Roman" w:hAnsi="Times New Roman"/>
                <w:sz w:val="20"/>
              </w:rPr>
              <w:t>Not reported</w:t>
            </w:r>
          </w:p>
        </w:tc>
        <w:tc>
          <w:tcPr>
            <w:tcW w:type="dxa" w:w="1800"/>
          </w:tcPr>
          <w:p>
            <w:pPr>
              <w:jc w:val="center"/>
            </w:pPr>
            <w:r>
              <w:rPr>
                <w:rFonts w:ascii="Times New Roman" w:hAnsi="Times New Roman"/>
                <w:sz w:val="20"/>
              </w:rPr>
              <w:t>Not reported</w:t>
            </w:r>
          </w:p>
        </w:tc>
        <w:tc>
          <w:tcPr>
            <w:tcW w:type="dxa" w:w="1800"/>
          </w:tcPr>
          <w:p>
            <w:pPr>
              <w:jc w:val="center"/>
            </w:pPr>
            <w:r>
              <w:rPr>
                <w:rFonts w:ascii="Times New Roman" w:hAnsi="Times New Roman"/>
                <w:sz w:val="20"/>
              </w:rPr>
              <w:t>70–85%</w:t>
            </w:r>
          </w:p>
        </w:tc>
      </w:tr>
      <w:tr>
        <w:tc>
          <w:tcPr>
            <w:tcW w:type="dxa" w:w="1800"/>
          </w:tcPr>
          <w:p>
            <w:pPr>
              <w:jc w:val="center"/>
            </w:pPr>
            <w:r>
              <w:rPr>
                <w:rFonts w:ascii="Times New Roman" w:hAnsi="Times New Roman"/>
                <w:sz w:val="20"/>
              </w:rPr>
              <w:t>Privacy</w:t>
            </w:r>
          </w:p>
        </w:tc>
        <w:tc>
          <w:tcPr>
            <w:tcW w:type="dxa" w:w="1800"/>
          </w:tcPr>
          <w:p>
            <w:pPr>
              <w:jc w:val="center"/>
            </w:pPr>
            <w:r>
              <w:rPr>
                <w:rFonts w:ascii="Times New Roman" w:hAnsi="Times New Roman"/>
                <w:sz w:val="20"/>
              </w:rPr>
              <w:t>High (no images)</w:t>
            </w:r>
          </w:p>
        </w:tc>
        <w:tc>
          <w:tcPr>
            <w:tcW w:type="dxa" w:w="1800"/>
          </w:tcPr>
          <w:p>
            <w:pPr>
              <w:jc w:val="center"/>
            </w:pPr>
            <w:r>
              <w:rPr>
                <w:rFonts w:ascii="Times New Roman" w:hAnsi="Times New Roman"/>
                <w:sz w:val="20"/>
              </w:rPr>
              <w:t>High</w:t>
            </w:r>
          </w:p>
        </w:tc>
        <w:tc>
          <w:tcPr>
            <w:tcW w:type="dxa" w:w="1800"/>
          </w:tcPr>
          <w:p>
            <w:pPr>
              <w:jc w:val="center"/>
            </w:pPr>
            <w:r>
              <w:rPr>
                <w:rFonts w:ascii="Times New Roman" w:hAnsi="Times New Roman"/>
                <w:sz w:val="20"/>
              </w:rPr>
              <w:t>High</w:t>
            </w:r>
          </w:p>
        </w:tc>
        <w:tc>
          <w:tcPr>
            <w:tcW w:type="dxa" w:w="1800"/>
          </w:tcPr>
          <w:p>
            <w:pPr>
              <w:jc w:val="center"/>
            </w:pPr>
            <w:r>
              <w:rPr>
                <w:rFonts w:ascii="Times New Roman" w:hAnsi="Times New Roman"/>
                <w:sz w:val="20"/>
              </w:rPr>
              <w:t>Low (facial images)</w:t>
            </w:r>
          </w:p>
        </w:tc>
      </w:tr>
    </w:tbl>
    <w:p/>
    <w:p>
      <w:pPr>
        <w:spacing w:before="280" w:after="160"/>
        <w:jc w:val="left"/>
      </w:pPr>
      <w:r>
        <w:rPr>
          <w:rFonts w:ascii="Times New Roman" w:hAnsi="Times New Roman"/>
          <w:b/>
          <w:sz w:val="26"/>
        </w:rPr>
        <w:t>2.6  Proactive and Predictive Approaches</w:t>
      </w:r>
    </w:p>
    <w:p>
      <w:pPr>
        <w:spacing w:line="360" w:lineRule="auto"/>
        <w:jc w:val="both"/>
      </w:pPr>
      <w:r>
        <w:rPr>
          <w:rFonts w:ascii="Times New Roman" w:hAnsi="Times New Roman"/>
          <w:sz w:val="24"/>
        </w:rPr>
        <w:t>The distinction between reactive detection and proactive prediction is critical. Reactive systems answer the question "Is the driver drowsy now?" — a diagnosis of current state. Proactive systems answer "When will the driver become dangerously drowsy?" — a forecast of future state. Despite the clear safety advantage of proactive prediction, the literature reveals a significant gap: no existing system, whether patented or academically published, explicitly demonstrates advance drowsiness prediction with a quantified timeline of 5–10 minutes.</w:t>
      </w:r>
    </w:p>
    <w:p>
      <w:pPr>
        <w:spacing w:line="360" w:lineRule="auto"/>
        <w:jc w:val="both"/>
      </w:pPr>
      <w:r>
        <w:rPr>
          <w:rFonts w:ascii="Times New Roman" w:hAnsi="Times New Roman"/>
          <w:sz w:val="24"/>
        </w:rPr>
        <w:t>Nguyen et al. [15] combined EEG and near-infrared spectroscopy (NIRS) for drowsiness prediction using time-series analysis of oxy-haemoglobin concentration. While this represents a prediction approach, the system required multi-modal sensing (EEG + optical) and did not quantify a specific advance prediction horizon. Lin et al. [16] proposed a generalised drowsiness prediction framework but used the term "prediction" loosely, likely referring to current-state classification from temporal features rather than genuine future-state forecasting.</w:t>
      </w:r>
    </w:p>
    <w:p>
      <w:pPr>
        <w:spacing w:line="360" w:lineRule="auto"/>
        <w:jc w:val="both"/>
      </w:pPr>
      <w:r>
        <w:rPr>
          <w:rFonts w:ascii="Times New Roman" w:hAnsi="Times New Roman"/>
          <w:sz w:val="24"/>
        </w:rPr>
        <w:t>The gap identified through this literature review is clear: no existing system combines (1) proactive temporal extrapolation with a quantified 5–10 minute prediction window, (2) a headrest-embedded form factor, (3) an occipital-only minimal 2-channel EEG configuration, and (4) consumer-viable cost ($100–500). The present project addresses this gap.</w:t>
      </w:r>
    </w:p>
    <w:p>
      <w:pPr>
        <w:spacing w:before="280" w:after="160"/>
        <w:jc w:val="left"/>
      </w:pPr>
      <w:r>
        <w:rPr>
          <w:rFonts w:ascii="Times New Roman" w:hAnsi="Times New Roman"/>
          <w:b/>
          <w:sz w:val="26"/>
        </w:rPr>
        <w:t>2.7  Preliminary Cost and Feasibility Analysis</w:t>
      </w:r>
    </w:p>
    <w:p>
      <w:pPr>
        <w:spacing w:line="360" w:lineRule="auto"/>
        <w:jc w:val="both"/>
      </w:pPr>
      <w:r>
        <w:rPr>
          <w:rFonts w:ascii="Times New Roman" w:hAnsi="Times New Roman"/>
          <w:sz w:val="24"/>
        </w:rPr>
        <w:t>The proposed system achieves its cost target through three design decisions. First, the use of only two EEG channels eliminates the expensive multi-channel amplifier systems required by research-grade devices ($5,000–$50,000). Second, dry silicone-textile electrodes eliminate the need for conductive gel and specialised preparation, reducing consumable costs to near zero. Third, the signal processing algorithm (Butterworth filter + Welch PSD + linear regression) is computationally lightweight and can execute on an ARM Cortex-M4 microcontroller costing less than $10 in volume production.</w:t>
      </w:r>
    </w:p>
    <w:p>
      <w:pPr>
        <w:spacing w:line="360" w:lineRule="auto"/>
        <w:jc w:val="both"/>
      </w:pPr>
      <w:r>
        <w:rPr>
          <w:rFonts w:ascii="Times New Roman" w:hAnsi="Times New Roman"/>
          <w:sz w:val="24"/>
        </w:rPr>
        <w:t>The estimated bill of materials for a production headrest module is: dry electrodes ($5–15), 2-channel EEG analog front-end IC ($15–30), ARM Cortex-M4 microcontroller ($8–12), wireless module ($5–10), PCB and passives ($10–20), headrest integration ($30–50). Total estimated hardware cost: $73–137, with retail pricing in the $100–500 range depending on OEM integration and volume.</w:t>
      </w:r>
    </w:p>
    <w:p>
      <w:pPr>
        <w:spacing w:line="360" w:lineRule="auto"/>
        <w:jc w:val="both"/>
      </w:pPr>
      <w:r>
        <w:rPr>
          <w:rFonts w:ascii="Times New Roman" w:hAnsi="Times New Roman"/>
          <w:sz w:val="24"/>
        </w:rPr>
        <w:t>The validation dataset (DROZY) is publicly available at no cost, and all processing was performed using open-source software libraries (MNE-Python, scikit-learn, SciPy), further reducing development barriers.</w:t>
      </w:r>
    </w:p>
    <w:p>
      <w:pPr>
        <w:spacing w:before="280" w:after="160"/>
        <w:jc w:val="left"/>
      </w:pPr>
      <w:r>
        <w:rPr>
          <w:rFonts w:ascii="Times New Roman" w:hAnsi="Times New Roman"/>
          <w:b/>
          <w:sz w:val="26"/>
        </w:rPr>
        <w:t>2.8  Societal and Industry Significance</w:t>
      </w:r>
    </w:p>
    <w:p>
      <w:pPr>
        <w:spacing w:line="360" w:lineRule="auto"/>
        <w:jc w:val="both"/>
      </w:pPr>
      <w:r>
        <w:rPr>
          <w:rFonts w:ascii="Times New Roman" w:hAnsi="Times New Roman"/>
          <w:sz w:val="24"/>
        </w:rPr>
        <w:t>The proposed system aligns with two United Nations Sustainable Development Goals. SDG 3 (Good Health and Well-Being) is directly addressed through the reduction of drowsy-driving fatalities, which currently account for an estimated 270,000 deaths annually worldwide. SDG 9 (Industry, Innovation, and Infrastructure) is addressed through the development of a novel, scalable technology suitable for integration into existing vehicle manufacturing processes.</w:t>
      </w:r>
    </w:p>
    <w:p>
      <w:pPr>
        <w:spacing w:line="360" w:lineRule="auto"/>
        <w:jc w:val="both"/>
      </w:pPr>
      <w:r>
        <w:rPr>
          <w:rFonts w:ascii="Times New Roman" w:hAnsi="Times New Roman"/>
          <w:sz w:val="24"/>
        </w:rPr>
        <w:t>From an industry perspective, EU Regulation 2019/2144 mandates driver drowsiness and attention warning systems for all new vehicles sold in the European Union from July 2024. While camera-based systems currently dominate compliance solutions, an EEG-based proactive prediction system could serve as a premium complementary technology offering superior advance warning capabilities. The passive headrest form factor ensures that driver adoption requires no behavioral change, addressing one of the primary barriers to physiological monitoring system acceptance.</w:t>
      </w:r>
    </w:p>
    <w:p>
      <w:pPr>
        <w:pageBreakBefore/>
        <w:spacing w:before="480" w:after="240"/>
        <w:jc w:val="left"/>
      </w:pPr>
      <w:r>
        <w:rPr>
          <w:rFonts w:ascii="Times New Roman" w:hAnsi="Times New Roman"/>
          <w:b/>
          <w:sz w:val="32"/>
        </w:rPr>
        <w:t>CHAPTER 3</w:t>
      </w:r>
    </w:p>
    <w:p>
      <w:pPr>
        <w:spacing w:after="360"/>
        <w:jc w:val="left"/>
      </w:pPr>
      <w:r>
        <w:rPr>
          <w:rFonts w:ascii="Times New Roman" w:hAnsi="Times New Roman"/>
          <w:b/>
          <w:sz w:val="28"/>
        </w:rPr>
        <w:t>PROBLEM DEFINITION AND OBJECTIVES</w:t>
      </w:r>
    </w:p>
    <w:p>
      <w:pPr>
        <w:spacing w:before="280" w:after="160"/>
        <w:jc w:val="left"/>
      </w:pPr>
      <w:r>
        <w:rPr>
          <w:rFonts w:ascii="Times New Roman" w:hAnsi="Times New Roman"/>
          <w:b/>
          <w:sz w:val="26"/>
        </w:rPr>
        <w:t>3.1  Problem Definition</w:t>
      </w:r>
    </w:p>
    <w:p>
      <w:pPr>
        <w:spacing w:line="360" w:lineRule="auto"/>
        <w:jc w:val="both"/>
      </w:pPr>
      <w:r>
        <w:rPr>
          <w:rFonts w:ascii="Times New Roman" w:hAnsi="Times New Roman"/>
          <w:sz w:val="24"/>
        </w:rPr>
        <w:t>Driver drowsiness is responsible for approximately 20% of fatal road accidents globally, yet existing monitoring technologies detect drowsiness only after its onset, providing the driver with insufficient time for safe intervention. The current state of the art in driver monitoring suffers from four specific gaps:</w:t>
      </w:r>
    </w:p>
    <w:p>
      <w:pPr>
        <w:spacing w:line="360" w:lineRule="auto"/>
        <w:jc w:val="both"/>
      </w:pPr>
      <w:r>
        <w:rPr>
          <w:rFonts w:ascii="Times New Roman" w:hAnsi="Times New Roman"/>
          <w:sz w:val="24"/>
        </w:rPr>
        <w:t>Gap 1 — Reactive detection paradigm: All commercially deployed driver monitoring systems (camera-based, steering-pattern-based, or lane-departure-based) detect current drowsiness symptoms rather than predicting future drowsiness onset. By the time a reactive system generates an alert, the driver may already be impaired.</w:t>
      </w:r>
    </w:p>
    <w:p>
      <w:pPr>
        <w:spacing w:line="360" w:lineRule="auto"/>
        <w:jc w:val="both"/>
      </w:pPr>
      <w:r>
        <w:rPr>
          <w:rFonts w:ascii="Times New Roman" w:hAnsi="Times New Roman"/>
          <w:sz w:val="24"/>
        </w:rPr>
        <w:t>Gap 2 — Sensor complexity and wearability: EEG-based drowsiness detection research predominantly relies on multi-channel (8–32 channel) electrode caps with conductive gel, which are impractical for daily driving use. Single-channel systems have been explored but achieve insufficient accuracy (&lt;82%) for safety-critical applications.</w:t>
      </w:r>
    </w:p>
    <w:p>
      <w:pPr>
        <w:spacing w:line="360" w:lineRule="auto"/>
        <w:jc w:val="both"/>
      </w:pPr>
      <w:r>
        <w:rPr>
          <w:rFonts w:ascii="Times New Roman" w:hAnsi="Times New Roman"/>
          <w:sz w:val="24"/>
        </w:rPr>
        <w:t>Gap 3 — Absence of passive integration: No commercially available system integrates EEG sensors into the vehicle headrest in a transparent, wearable-free configuration that requires no action from the driver.</w:t>
      </w:r>
    </w:p>
    <w:p>
      <w:pPr>
        <w:spacing w:line="360" w:lineRule="auto"/>
        <w:jc w:val="both"/>
      </w:pPr>
      <w:r>
        <w:rPr>
          <w:rFonts w:ascii="Times New Roman" w:hAnsi="Times New Roman"/>
          <w:sz w:val="24"/>
        </w:rPr>
        <w:t>Gap 4 — Cost barrier: Existing physiological monitoring solutions cost $1,000–$10,000+ per unit, precluding mass-market automotive deployment.</w:t>
      </w:r>
    </w:p>
    <w:p>
      <w:pPr>
        <w:spacing w:line="360" w:lineRule="auto"/>
        <w:jc w:val="both"/>
      </w:pPr>
      <w:r>
        <w:rPr>
          <w:rFonts w:ascii="Times New Roman" w:hAnsi="Times New Roman"/>
          <w:sz w:val="24"/>
        </w:rPr>
        <w:t>The present project addressed all four gaps by developing a proactive drowsiness prediction system using only two occipital EEG channels (O1, O2) embedded in a vehicle headrest, achieving 89.54% classification accuracy and 5–10 minute advance prediction capability at an estimated cost of $100–500.</w:t>
      </w:r>
    </w:p>
    <w:p>
      <w:pPr>
        <w:spacing w:before="280" w:after="160"/>
        <w:jc w:val="left"/>
      </w:pPr>
      <w:r>
        <w:rPr>
          <w:rFonts w:ascii="Times New Roman" w:hAnsi="Times New Roman"/>
          <w:b/>
          <w:sz w:val="26"/>
        </w:rPr>
        <w:t>3.2  Objectives</w:t>
      </w:r>
    </w:p>
    <w:p>
      <w:pPr>
        <w:spacing w:line="360" w:lineRule="auto"/>
        <w:jc w:val="both"/>
      </w:pPr>
      <w:r>
        <w:rPr>
          <w:rFonts w:ascii="Times New Roman" w:hAnsi="Times New Roman"/>
          <w:sz w:val="24"/>
        </w:rPr>
        <w:t>The project pursued four specific objectives:</w:t>
      </w:r>
    </w:p>
    <w:p>
      <w:pPr>
        <w:spacing w:line="360" w:lineRule="auto"/>
        <w:jc w:val="both"/>
      </w:pPr>
      <w:r>
        <w:rPr>
          <w:rFonts w:ascii="Times New Roman" w:hAnsi="Times New Roman"/>
          <w:sz w:val="24"/>
        </w:rPr>
        <w:t>Objective 1: Design a minimal 2-channel occipital EEG acquisition system embedded in a standard vehicle headrest using dry silicone-textile electrodes at the O1 and O2 positions of the International 10-20 system, achieving passive scalp contact through hair without conductive gel.</w:t>
      </w:r>
    </w:p>
    <w:p>
      <w:pPr>
        <w:spacing w:line="360" w:lineRule="auto"/>
        <w:jc w:val="both"/>
      </w:pPr>
      <w:r>
        <w:rPr>
          <w:rFonts w:ascii="Times New Roman" w:hAnsi="Times New Roman"/>
          <w:sz w:val="24"/>
        </w:rPr>
        <w:t>Objective 2: Develop a real-time signal processing pipeline incorporating a 4th-order Butterworth bandpass filter (0.5–40 Hz) and Welch's power spectral density method to extract theta (4–8 Hz) and alpha (8–13 Hz) band power as quantitative drowsiness biomarkers from 60-second sliding windows with 30-second overlap.</w:t>
      </w:r>
    </w:p>
    <w:p>
      <w:pPr>
        <w:spacing w:line="360" w:lineRule="auto"/>
        <w:jc w:val="both"/>
      </w:pPr>
      <w:r>
        <w:rPr>
          <w:rFonts w:ascii="Times New Roman" w:hAnsi="Times New Roman"/>
          <w:sz w:val="24"/>
        </w:rPr>
        <w:t>Objective 3: Train and validate a Random Forest classifier achieving ≥85% accuracy on the DROZY clinical dataset (10 subjects, ~30 hours of recordings) with cross-dataset generalisation exploration on the SEED-VIG dataset (23 subjects).</w:t>
      </w:r>
    </w:p>
    <w:p>
      <w:pPr>
        <w:spacing w:line="360" w:lineRule="auto"/>
        <w:jc w:val="both"/>
      </w:pPr>
      <w:r>
        <w:rPr>
          <w:rFonts w:ascii="Times New Roman" w:hAnsi="Times New Roman"/>
          <w:sz w:val="24"/>
        </w:rPr>
        <w:t>Objective 4: Implement a linear regression-based proactive extrapolation algorithm that predicts drowsiness onset 5–10 minutes in advance by analysing temporal trends in the theta/alpha ratio, and integrate this with a graduated 3-tier alert system (Yellow Warning, Red Alert, Critical).</w:t>
      </w:r>
    </w:p>
    <w:p>
      <w:pPr>
        <w:spacing w:before="280" w:after="160"/>
        <w:jc w:val="left"/>
      </w:pPr>
      <w:r>
        <w:rPr>
          <w:rFonts w:ascii="Times New Roman" w:hAnsi="Times New Roman"/>
          <w:b/>
          <w:sz w:val="26"/>
        </w:rPr>
        <w:t>3.3  Alignment with Sustainable Development Goals</w:t>
      </w:r>
    </w:p>
    <w:p>
      <w:pPr>
        <w:spacing w:line="360" w:lineRule="auto"/>
        <w:jc w:val="both"/>
      </w:pPr>
      <w:r>
        <w:rPr>
          <w:rFonts w:ascii="Times New Roman" w:hAnsi="Times New Roman"/>
          <w:sz w:val="24"/>
        </w:rPr>
        <w:t>SDG 3 — Good Health and Well-Being: The system directly contributes to road safety by providing advance warning of drowsiness, potentially preventing the estimated 270,000 annual fatalities caused by drowsy driving worldwide. The proactive prediction paradigm offers 5–10 minutes of additional reaction time compared to reactive systems, enabling drivers to take preventive action such as stopping for rest.</w:t>
      </w:r>
    </w:p>
    <w:p>
      <w:pPr>
        <w:spacing w:line="360" w:lineRule="auto"/>
        <w:jc w:val="both"/>
      </w:pPr>
      <w:r>
        <w:rPr>
          <w:rFonts w:ascii="Times New Roman" w:hAnsi="Times New Roman"/>
          <w:sz w:val="24"/>
        </w:rPr>
        <w:t>SDG 9 — Industry, Innovation, and Infrastructure: The headrest-embedded EEG sensor configuration represents a novel approach to vehicle safety technology. The system's low cost ($100–500) and passive operation make it suitable for integration into existing vehicle manufacturing processes, enabling scalable deployment across diverse vehicle platforms and markets.</w:t>
      </w:r>
    </w:p>
    <w:p>
      <w:pPr>
        <w:pageBreakBefore/>
        <w:spacing w:before="480" w:after="240"/>
        <w:jc w:val="left"/>
      </w:pPr>
      <w:r>
        <w:rPr>
          <w:rFonts w:ascii="Times New Roman" w:hAnsi="Times New Roman"/>
          <w:b/>
          <w:sz w:val="32"/>
        </w:rPr>
        <w:t>CHAPTER 4</w:t>
      </w:r>
    </w:p>
    <w:p>
      <w:pPr>
        <w:spacing w:after="360"/>
        <w:jc w:val="left"/>
      </w:pPr>
      <w:r>
        <w:rPr>
          <w:rFonts w:ascii="Times New Roman" w:hAnsi="Times New Roman"/>
          <w:b/>
          <w:sz w:val="28"/>
        </w:rPr>
        <w:t>METHODOLOGY</w:t>
      </w:r>
    </w:p>
    <w:p>
      <w:pPr>
        <w:spacing w:before="280" w:after="160"/>
        <w:jc w:val="left"/>
      </w:pPr>
      <w:r>
        <w:rPr>
          <w:rFonts w:ascii="Times New Roman" w:hAnsi="Times New Roman"/>
          <w:b/>
          <w:sz w:val="26"/>
        </w:rPr>
        <w:t>4.1  System Overview</w:t>
      </w:r>
    </w:p>
    <w:p>
      <w:pPr>
        <w:spacing w:line="360" w:lineRule="auto"/>
        <w:jc w:val="both"/>
      </w:pPr>
      <w:r>
        <w:rPr>
          <w:rFonts w:ascii="Times New Roman" w:hAnsi="Times New Roman"/>
          <w:sz w:val="24"/>
        </w:rPr>
        <w:t>The proposed proactive driver monitoring system comprised an end-to-end processing pipeline that transformed raw EEG signals from two occipital electrodes into actionable drowsiness predictions with 5–10 minutes of advance warning. The pipeline operated in eight sequential stages: (1) EEG signal acquisition from O1 and O2 headrest-embedded electrodes at 128 Hz, (2) bandpass filtering to isolate the 0.5–40 Hz frequency range of interest, (3) segmentation into 60-second sliding windows with 30-second overlap, (4) Welch's PSD estimation for each window, (5) theta and alpha band power extraction via trapezoidal integration, (6) feature vector construction, (7) temporal trend analysis using linear regression on a rolling 5-minute buffer, and (8) time-to-threshold extrapolation for alert generation. Figure 4.1 presents the system architecture.</w:t>
      </w:r>
    </w:p>
    <w:p>
      <w:pPr>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system_architecture_1775460072370.png"/>
                    <pic:cNvPicPr/>
                  </pic:nvPicPr>
                  <pic:blipFill>
                    <a:blip r:embed="rId9"/>
                    <a:stretch>
                      <a:fillRect/>
                    </a:stretch>
                  </pic:blipFill>
                  <pic:spPr>
                    <a:xfrm>
                      <a:off x="0" y="0"/>
                      <a:ext cx="5029200" cy="5029200"/>
                    </a:xfrm>
                    <a:prstGeom prst="rect"/>
                  </pic:spPr>
                </pic:pic>
              </a:graphicData>
            </a:graphic>
          </wp:inline>
        </w:drawing>
      </w:r>
    </w:p>
    <w:p>
      <w:pPr>
        <w:spacing w:after="240"/>
        <w:jc w:val="center"/>
      </w:pPr>
      <w:r>
        <w:rPr>
          <w:rFonts w:ascii="Times New Roman" w:hAnsi="Times New Roman"/>
          <w:b/>
          <w:sz w:val="20"/>
        </w:rPr>
        <w:t>Figure 4.1: System architecture of the proactive EEG-based driver monitoring system</w:t>
      </w:r>
    </w:p>
    <w:p>
      <w:pPr>
        <w:spacing w:line="360" w:lineRule="auto"/>
        <w:jc w:val="both"/>
      </w:pPr>
      <w:r>
        <w:rPr>
          <w:rFonts w:ascii="Times New Roman" w:hAnsi="Times New Roman"/>
          <w:sz w:val="24"/>
        </w:rPr>
        <w:t>The data flow pipeline is further detailed in Figure 4.2, showing the transformation of raw microvolt-level EEG signals through each processing stage to the final alert output.</w:t>
      </w:r>
    </w:p>
    <w:p>
      <w:pPr>
        <w:jc w:val="center"/>
      </w:pPr>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data_flow_pipeline_1775460273700.png"/>
                    <pic:cNvPicPr/>
                  </pic:nvPicPr>
                  <pic:blipFill>
                    <a:blip r:embed="rId10"/>
                    <a:stretch>
                      <a:fillRect/>
                    </a:stretch>
                  </pic:blipFill>
                  <pic:spPr>
                    <a:xfrm>
                      <a:off x="0" y="0"/>
                      <a:ext cx="5029200" cy="5029200"/>
                    </a:xfrm>
                    <a:prstGeom prst="rect"/>
                  </pic:spPr>
                </pic:pic>
              </a:graphicData>
            </a:graphic>
          </wp:inline>
        </w:drawing>
      </w:r>
    </w:p>
    <w:p>
      <w:pPr>
        <w:spacing w:after="240"/>
        <w:jc w:val="center"/>
      </w:pPr>
      <w:r>
        <w:rPr>
          <w:rFonts w:ascii="Times New Roman" w:hAnsi="Times New Roman"/>
          <w:b/>
          <w:sz w:val="20"/>
        </w:rPr>
        <w:t>Figure 4.2: Signal processing and data flow pipeline — 8-stage transformation from raw EEG to alert output</w:t>
      </w:r>
    </w:p>
    <w:p>
      <w:pPr>
        <w:spacing w:before="280" w:after="160"/>
        <w:jc w:val="left"/>
      </w:pPr>
      <w:r>
        <w:rPr>
          <w:rFonts w:ascii="Times New Roman" w:hAnsi="Times New Roman"/>
          <w:b/>
          <w:sz w:val="26"/>
        </w:rPr>
        <w:t>4.2  Dataset</w:t>
      </w:r>
    </w:p>
    <w:p>
      <w:pPr>
        <w:spacing w:before="200" w:after="120"/>
        <w:jc w:val="left"/>
      </w:pPr>
      <w:r>
        <w:rPr>
          <w:rFonts w:ascii="Times New Roman" w:hAnsi="Times New Roman"/>
          <w:b/>
          <w:sz w:val="24"/>
        </w:rPr>
        <w:t>4.2.1  Primary Dataset: DROZY</w:t>
      </w:r>
    </w:p>
    <w:p>
      <w:pPr>
        <w:spacing w:line="360" w:lineRule="auto"/>
        <w:jc w:val="both"/>
      </w:pPr>
      <w:r>
        <w:rPr>
          <w:rFonts w:ascii="Times New Roman" w:hAnsi="Times New Roman"/>
          <w:sz w:val="24"/>
        </w:rPr>
        <w:t>The primary dataset used for system development and validation was the DROZY database, provided by the University of Liège, Belgium [2]. The DROZY dataset was designed specifically for drowsiness research and comprised EEG recordings from controlled driving simulation experiments.</w:t>
      </w:r>
    </w:p>
    <w:p>
      <w:pPr>
        <w:spacing w:line="360" w:lineRule="auto"/>
        <w:jc w:val="both"/>
      </w:pPr>
      <w:r>
        <w:rPr>
          <w:rFonts w:ascii="Times New Roman" w:hAnsi="Times New Roman"/>
          <w:sz w:val="24"/>
        </w:rPr>
        <w:t>The dataset included recordings from 10 subjects (6 male, 4 female), each recorded across two sessions. Session 1 was conducted while subjects were in an alert/rested state, while Session 2 was conducted after a period of sleep deprivation designed to induce drowsiness. Each session lasted approximately 90 minutes, yielding a total of approximately 30 hours of continuous EEG data across all subjects and sessions.</w:t>
      </w:r>
    </w:p>
    <w:p>
      <w:pPr>
        <w:spacing w:line="360" w:lineRule="auto"/>
        <w:jc w:val="both"/>
      </w:pPr>
      <w:r>
        <w:rPr>
          <w:rFonts w:ascii="Times New Roman" w:hAnsi="Times New Roman"/>
          <w:sz w:val="24"/>
        </w:rPr>
        <w:t>For the present project, only the O1-Ref and O2-Ref channels (occipital electrodes referenced to a common reference) were extracted from the full multi-channel recordings using a custom Python extraction script. The sampling rate was 128 Hz for all recordings. The extracted data were stored in EDF (European Data Format) files, with one file per subject per session (20 files total). Session 1 recordings were assigned the binary label 0 (Alert/Awake), and Session 2 recordings were assigned the label 1 (Drowsy/Sleep-Deprived).</w:t>
      </w:r>
    </w:p>
    <w:p>
      <w:pPr>
        <w:jc w:val="center"/>
      </w:pPr>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dataset_setup_1775460248082.png"/>
                    <pic:cNvPicPr/>
                  </pic:nvPicPr>
                  <pic:blipFill>
                    <a:blip r:embed="rId11"/>
                    <a:stretch>
                      <a:fillRect/>
                    </a:stretch>
                  </pic:blipFill>
                  <pic:spPr>
                    <a:xfrm>
                      <a:off x="0" y="0"/>
                      <a:ext cx="5029200" cy="5029200"/>
                    </a:xfrm>
                    <a:prstGeom prst="rect"/>
                  </pic:spPr>
                </pic:pic>
              </a:graphicData>
            </a:graphic>
          </wp:inline>
        </w:drawing>
      </w:r>
    </w:p>
    <w:p>
      <w:pPr>
        <w:spacing w:after="240"/>
        <w:jc w:val="center"/>
      </w:pPr>
      <w:r>
        <w:rPr>
          <w:rFonts w:ascii="Times New Roman" w:hAnsi="Times New Roman"/>
          <w:b/>
          <w:sz w:val="20"/>
        </w:rPr>
        <w:t>Figure 4.3: DROZY dataset structure — 10 subjects × 2 sessions with binary labelling scheme</w:t>
      </w:r>
    </w:p>
    <w:p>
      <w:pPr>
        <w:spacing w:before="240"/>
        <w:jc w:val="center"/>
      </w:pPr>
      <w:r>
        <w:rPr>
          <w:rFonts w:ascii="Times New Roman" w:hAnsi="Times New Roman"/>
          <w:b/>
          <w:sz w:val="20"/>
        </w:rPr>
        <w:t>Table 4.1: DROZY Dataset Parameters (10 s LOSO Protocol)</w:t>
      </w:r>
    </w:p>
    <w:tbl>
      <w:tblPr>
        <w:tblStyle w:val="TableGrid"/>
        <w:tblW w:type="auto" w:w="0"/>
        <w:jc w:val="center"/>
        <w:tblLook w:firstColumn="1" w:firstRow="1" w:lastColumn="0" w:lastRow="0" w:noHBand="0" w:noVBand="1" w:val="04A0"/>
      </w:tblPr>
      <w:tblGrid>
        <w:gridCol w:w="4500"/>
        <w:gridCol w:w="4500"/>
      </w:tblGrid>
      <w:tr>
        <w:tc>
          <w:tcPr>
            <w:tcW w:type="dxa" w:w="4500"/>
          </w:tcPr>
          <w:p>
            <w:pPr>
              <w:jc w:val="center"/>
            </w:pPr>
            <w:r>
              <w:rPr>
                <w:rFonts w:ascii="Times New Roman" w:hAnsi="Times New Roman"/>
                <w:b/>
                <w:sz w:val="20"/>
              </w:rPr>
              <w:t>Parameter</w:t>
            </w:r>
          </w:p>
        </w:tc>
        <w:tc>
          <w:tcPr>
            <w:tcW w:type="dxa" w:w="4500"/>
          </w:tcPr>
          <w:p>
            <w:pPr>
              <w:jc w:val="center"/>
            </w:pPr>
            <w:r>
              <w:rPr>
                <w:rFonts w:ascii="Times New Roman" w:hAnsi="Times New Roman"/>
                <w:b/>
                <w:sz w:val="20"/>
              </w:rPr>
              <w:t>Value</w:t>
            </w:r>
          </w:p>
        </w:tc>
      </w:tr>
      <w:tr>
        <w:tc>
          <w:tcPr>
            <w:tcW w:type="dxa" w:w="4500"/>
          </w:tcPr>
          <w:p>
            <w:pPr>
              <w:jc w:val="center"/>
            </w:pPr>
            <w:r>
              <w:rPr>
                <w:rFonts w:ascii="Times New Roman" w:hAnsi="Times New Roman"/>
                <w:sz w:val="20"/>
              </w:rPr>
              <w:t>Source</w:t>
            </w:r>
          </w:p>
        </w:tc>
        <w:tc>
          <w:tcPr>
            <w:tcW w:type="dxa" w:w="4500"/>
          </w:tcPr>
          <w:p>
            <w:pPr>
              <w:jc w:val="center"/>
            </w:pPr>
            <w:r>
              <w:rPr>
                <w:rFonts w:ascii="Times New Roman" w:hAnsi="Times New Roman"/>
                <w:sz w:val="20"/>
              </w:rPr>
              <w:t>University of Liège, Belgium</w:t>
            </w:r>
          </w:p>
        </w:tc>
      </w:tr>
      <w:tr>
        <w:tc>
          <w:tcPr>
            <w:tcW w:type="dxa" w:w="4500"/>
          </w:tcPr>
          <w:p>
            <w:pPr>
              <w:jc w:val="center"/>
            </w:pPr>
            <w:r>
              <w:rPr>
                <w:rFonts w:ascii="Times New Roman" w:hAnsi="Times New Roman"/>
                <w:sz w:val="20"/>
              </w:rPr>
              <w:t>Subjects</w:t>
            </w:r>
          </w:p>
        </w:tc>
        <w:tc>
          <w:tcPr>
            <w:tcW w:type="dxa" w:w="4500"/>
          </w:tcPr>
          <w:p>
            <w:pPr>
              <w:jc w:val="center"/>
            </w:pPr>
            <w:r>
              <w:rPr>
                <w:rFonts w:ascii="Times New Roman" w:hAnsi="Times New Roman"/>
                <w:sz w:val="20"/>
              </w:rPr>
              <w:t>10 (6 male, 4 female)</w:t>
            </w:r>
          </w:p>
        </w:tc>
      </w:tr>
      <w:tr>
        <w:tc>
          <w:tcPr>
            <w:tcW w:type="dxa" w:w="4500"/>
          </w:tcPr>
          <w:p>
            <w:pPr>
              <w:jc w:val="center"/>
            </w:pPr>
            <w:r>
              <w:rPr>
                <w:rFonts w:ascii="Times New Roman" w:hAnsi="Times New Roman"/>
                <w:sz w:val="20"/>
              </w:rPr>
              <w:t>Sessions per subject</w:t>
            </w:r>
          </w:p>
        </w:tc>
        <w:tc>
          <w:tcPr>
            <w:tcW w:type="dxa" w:w="4500"/>
          </w:tcPr>
          <w:p>
            <w:pPr>
              <w:jc w:val="center"/>
            </w:pPr>
            <w:r>
              <w:rPr>
                <w:rFonts w:ascii="Times New Roman" w:hAnsi="Times New Roman"/>
                <w:sz w:val="20"/>
              </w:rPr>
              <w:t>2 (Alert + Drowsy)</w:t>
            </w:r>
          </w:p>
        </w:tc>
      </w:tr>
      <w:tr>
        <w:tc>
          <w:tcPr>
            <w:tcW w:type="dxa" w:w="4500"/>
          </w:tcPr>
          <w:p>
            <w:pPr>
              <w:jc w:val="center"/>
            </w:pPr>
            <w:r>
              <w:rPr>
                <w:rFonts w:ascii="Times New Roman" w:hAnsi="Times New Roman"/>
                <w:sz w:val="20"/>
              </w:rPr>
              <w:t>Duration per session</w:t>
            </w:r>
          </w:p>
        </w:tc>
        <w:tc>
          <w:tcPr>
            <w:tcW w:type="dxa" w:w="4500"/>
          </w:tcPr>
          <w:p>
            <w:pPr>
              <w:jc w:val="center"/>
            </w:pPr>
            <w:r>
              <w:rPr>
                <w:rFonts w:ascii="Times New Roman" w:hAnsi="Times New Roman"/>
                <w:sz w:val="20"/>
              </w:rPr>
              <w:t>~60 minutes per session on average</w:t>
            </w:r>
          </w:p>
        </w:tc>
      </w:tr>
      <w:tr>
        <w:tc>
          <w:tcPr>
            <w:tcW w:type="dxa" w:w="4500"/>
          </w:tcPr>
          <w:p>
            <w:pPr>
              <w:jc w:val="center"/>
            </w:pPr>
            <w:r>
              <w:rPr>
                <w:rFonts w:ascii="Times New Roman" w:hAnsi="Times New Roman"/>
                <w:sz w:val="20"/>
              </w:rPr>
              <w:t>Channels extracted</w:t>
            </w:r>
          </w:p>
        </w:tc>
        <w:tc>
          <w:tcPr>
            <w:tcW w:type="dxa" w:w="4500"/>
          </w:tcPr>
          <w:p>
            <w:pPr>
              <w:jc w:val="center"/>
            </w:pPr>
            <w:r>
              <w:rPr>
                <w:rFonts w:ascii="Times New Roman" w:hAnsi="Times New Roman"/>
                <w:sz w:val="20"/>
              </w:rPr>
              <w:t>O1-Ref, O2-Ref</w:t>
            </w:r>
          </w:p>
        </w:tc>
      </w:tr>
      <w:tr>
        <w:tc>
          <w:tcPr>
            <w:tcW w:type="dxa" w:w="4500"/>
          </w:tcPr>
          <w:p>
            <w:pPr>
              <w:jc w:val="center"/>
            </w:pPr>
            <w:r>
              <w:rPr>
                <w:rFonts w:ascii="Times New Roman" w:hAnsi="Times New Roman"/>
                <w:sz w:val="20"/>
              </w:rPr>
              <w:t>Sampling rate</w:t>
            </w:r>
          </w:p>
        </w:tc>
        <w:tc>
          <w:tcPr>
            <w:tcW w:type="dxa" w:w="4500"/>
          </w:tcPr>
          <w:p>
            <w:pPr>
              <w:jc w:val="center"/>
            </w:pPr>
            <w:r>
              <w:rPr>
                <w:rFonts w:ascii="Times New Roman" w:hAnsi="Times New Roman"/>
                <w:sz w:val="20"/>
              </w:rPr>
              <w:t>128 Hz</w:t>
            </w:r>
          </w:p>
        </w:tc>
      </w:tr>
      <w:tr>
        <w:tc>
          <w:tcPr>
            <w:tcW w:type="dxa" w:w="4500"/>
          </w:tcPr>
          <w:p>
            <w:pPr>
              <w:jc w:val="center"/>
            </w:pPr>
            <w:r>
              <w:rPr>
                <w:rFonts w:ascii="Times New Roman" w:hAnsi="Times New Roman"/>
                <w:sz w:val="20"/>
              </w:rPr>
              <w:t>File format</w:t>
            </w:r>
          </w:p>
        </w:tc>
        <w:tc>
          <w:tcPr>
            <w:tcW w:type="dxa" w:w="4500"/>
          </w:tcPr>
          <w:p>
            <w:pPr>
              <w:jc w:val="center"/>
            </w:pPr>
            <w:r>
              <w:rPr>
                <w:rFonts w:ascii="Times New Roman" w:hAnsi="Times New Roman"/>
                <w:sz w:val="20"/>
              </w:rPr>
              <w:t>EDF</w:t>
            </w:r>
          </w:p>
        </w:tc>
      </w:tr>
      <w:tr>
        <w:tc>
          <w:tcPr>
            <w:tcW w:type="dxa" w:w="4500"/>
          </w:tcPr>
          <w:p>
            <w:pPr>
              <w:jc w:val="center"/>
            </w:pPr>
            <w:r>
              <w:rPr>
                <w:rFonts w:ascii="Times New Roman" w:hAnsi="Times New Roman"/>
                <w:sz w:val="20"/>
              </w:rPr>
              <w:t>Epoch length</w:t>
            </w:r>
          </w:p>
        </w:tc>
        <w:tc>
          <w:tcPr>
            <w:tcW w:type="dxa" w:w="4500"/>
          </w:tcPr>
          <w:p>
            <w:pPr>
              <w:jc w:val="center"/>
            </w:pPr>
            <w:r>
              <w:rPr>
                <w:rFonts w:ascii="Times New Roman" w:hAnsi="Times New Roman"/>
                <w:sz w:val="20"/>
              </w:rPr>
              <w:t>10 s non-overlapping</w:t>
            </w:r>
          </w:p>
        </w:tc>
      </w:tr>
      <w:tr>
        <w:tc>
          <w:tcPr>
            <w:tcW w:type="dxa" w:w="4500"/>
          </w:tcPr>
          <w:p>
            <w:pPr>
              <w:jc w:val="center"/>
            </w:pPr>
            <w:r>
              <w:rPr>
                <w:rFonts w:ascii="Times New Roman" w:hAnsi="Times New Roman"/>
                <w:sz w:val="20"/>
              </w:rPr>
              <w:t>Total epochs (10 s)</w:t>
            </w:r>
          </w:p>
        </w:tc>
        <w:tc>
          <w:tcPr>
            <w:tcW w:type="dxa" w:w="4500"/>
          </w:tcPr>
          <w:p>
            <w:pPr>
              <w:jc w:val="center"/>
            </w:pPr>
            <w:r>
              <w:rPr>
                <w:rFonts w:ascii="Times New Roman" w:hAnsi="Times New Roman"/>
                <w:sz w:val="20"/>
              </w:rPr>
              <w:t>14,498</w:t>
            </w:r>
          </w:p>
        </w:tc>
      </w:tr>
      <w:tr>
        <w:tc>
          <w:tcPr>
            <w:tcW w:type="dxa" w:w="4500"/>
          </w:tcPr>
          <w:p>
            <w:pPr>
              <w:jc w:val="center"/>
            </w:pPr>
            <w:r>
              <w:rPr>
                <w:rFonts w:ascii="Times New Roman" w:hAnsi="Times New Roman"/>
                <w:sz w:val="20"/>
              </w:rPr>
              <w:t>Class distribution</w:t>
            </w:r>
          </w:p>
        </w:tc>
        <w:tc>
          <w:tcPr>
            <w:tcW w:type="dxa" w:w="4500"/>
          </w:tcPr>
          <w:p>
            <w:pPr>
              <w:jc w:val="center"/>
            </w:pPr>
            <w:r>
              <w:rPr>
                <w:rFonts w:ascii="Times New Roman" w:hAnsi="Times New Roman"/>
                <w:sz w:val="20"/>
              </w:rPr>
              <w:t>≈ 50% awake (7,234) / 50% drowsy (7,264)</w:t>
            </w:r>
          </w:p>
        </w:tc>
      </w:tr>
      <w:tr>
        <w:tc>
          <w:tcPr>
            <w:tcW w:type="dxa" w:w="4500"/>
          </w:tcPr>
          <w:p>
            <w:pPr>
              <w:jc w:val="center"/>
            </w:pPr>
            <w:r>
              <w:rPr>
                <w:rFonts w:ascii="Times New Roman" w:hAnsi="Times New Roman"/>
                <w:sz w:val="20"/>
              </w:rPr>
              <w:t>Evaluation protocol</w:t>
            </w:r>
          </w:p>
        </w:tc>
        <w:tc>
          <w:tcPr>
            <w:tcW w:type="dxa" w:w="4500"/>
          </w:tcPr>
          <w:p>
            <w:pPr>
              <w:jc w:val="center"/>
            </w:pPr>
            <w:r>
              <w:rPr>
                <w:rFonts w:ascii="Times New Roman" w:hAnsi="Times New Roman"/>
                <w:sz w:val="20"/>
              </w:rPr>
              <w:t>Leave-One-Subject-Out (LOSO)</w:t>
            </w:r>
          </w:p>
        </w:tc>
      </w:tr>
    </w:tbl>
    <w:p/>
    <w:p>
      <w:pPr>
        <w:spacing w:before="200" w:after="120"/>
        <w:jc w:val="left"/>
      </w:pPr>
      <w:r>
        <w:rPr>
          <w:rFonts w:ascii="Times New Roman" w:hAnsi="Times New Roman"/>
          <w:b/>
          <w:sz w:val="24"/>
        </w:rPr>
        <w:t>4.2.2  Cross-Dataset Validation: SEED-VIG</w:t>
      </w:r>
    </w:p>
    <w:p>
      <w:pPr>
        <w:spacing w:line="360" w:lineRule="auto"/>
        <w:jc w:val="both"/>
      </w:pPr>
      <w:r>
        <w:rPr>
          <w:rFonts w:ascii="Times New Roman" w:hAnsi="Times New Roman"/>
          <w:sz w:val="24"/>
        </w:rPr>
        <w:t>The SEED-VIG dataset from Shanghai Jiao Tong University was used for cross-dataset generalization testing. SEED-VIG contained 23 experimental sessions (21 unique subjects; 2 subjects had repeat sessions) recorded with a 17-channel occipital-posterior configuration at 200 Hz, with continuous PERCLOS (percentage of eye closure) values provided every 8 seconds. In this work, raw O1 (channel 15) and O2 (channel 17) were extracted, resampled from 200 Hz to 128 Hz to match the DROZY pipeline, and epoched into 10-second non-overlapping windows. Each epoch was labelled from the mean perclos value inside the window using the thresholds PERCLOS &lt; 0.35 → awake (label 0) and PERCLOS &gt; 0.70 → drowsy (label 1); in-between epochs were discarded. After thresholding, 9,155 labelled epochs from 21 subjects (5,923 awake / 3,232 drowsy) remained for cross-dataset evaluation.</w:t>
      </w:r>
    </w:p>
    <w:p>
      <w:pPr>
        <w:spacing w:before="280" w:after="160"/>
        <w:jc w:val="left"/>
      </w:pPr>
      <w:r>
        <w:rPr>
          <w:rFonts w:ascii="Times New Roman" w:hAnsi="Times New Roman"/>
          <w:b/>
          <w:sz w:val="26"/>
        </w:rPr>
        <w:t>4.3  Hardware Design Concept</w:t>
      </w:r>
    </w:p>
    <w:p>
      <w:pPr>
        <w:spacing w:line="360" w:lineRule="auto"/>
        <w:jc w:val="both"/>
      </w:pPr>
      <w:r>
        <w:rPr>
          <w:rFonts w:ascii="Times New Roman" w:hAnsi="Times New Roman"/>
          <w:sz w:val="24"/>
        </w:rPr>
        <w:t>The headrest sensor configuration was designed to position EEG electrodes at the O1 and O2 occipital sites (International 10-20 system) within a standard vehicle headrest. The O1 position is located at 20% of the distance from the inion to the nasion, 20% to the left of the midline, while O2 is the corresponding position 20% to the right. These positions naturally fall within the contact zone where the driver's head rests against the headrest during normal driving posture.</w:t>
      </w:r>
    </w:p>
    <w:p>
      <w:pPr>
        <w:spacing w:line="360" w:lineRule="auto"/>
        <w:jc w:val="both"/>
      </w:pPr>
      <w:r>
        <w:rPr>
          <w:rFonts w:ascii="Times New Roman" w:hAnsi="Times New Roman"/>
          <w:sz w:val="24"/>
        </w:rPr>
        <w:t>The electrode design employed dry silicone-textured conductive fabric with a 10 mm diameter circular contact area. Unlike wet gel electrodes traditionally used in clinical EEG, dry electrodes achieve acceptable impedance (&lt;50 kΩ optimal, &lt;100 kΩ acceptable) through passive skin contact, including contact through hair in the occipital region. The silicone texture promotes consistent skin coupling while maintaining driver comfort during extended driving periods.</w:t>
      </w:r>
    </w:p>
    <w:p>
      <w:pPr>
        <w:jc w:val="center"/>
      </w:pPr>
      <w:r>
        <w:drawing>
          <wp:inline xmlns:a="http://schemas.openxmlformats.org/drawingml/2006/main" xmlns:pic="http://schemas.openxmlformats.org/drawingml/2006/picture">
            <wp:extent cx="5029200" cy="5029200"/>
            <wp:docPr id="4" name="Picture 4"/>
            <wp:cNvGraphicFramePr>
              <a:graphicFrameLocks noChangeAspect="1"/>
            </wp:cNvGraphicFramePr>
            <a:graphic>
              <a:graphicData uri="http://schemas.openxmlformats.org/drawingml/2006/picture">
                <pic:pic>
                  <pic:nvPicPr>
                    <pic:cNvPr id="0" name="headrest_schematic_1775460260932.png"/>
                    <pic:cNvPicPr/>
                  </pic:nvPicPr>
                  <pic:blipFill>
                    <a:blip r:embed="rId12"/>
                    <a:stretch>
                      <a:fillRect/>
                    </a:stretch>
                  </pic:blipFill>
                  <pic:spPr>
                    <a:xfrm>
                      <a:off x="0" y="0"/>
                      <a:ext cx="5029200" cy="5029200"/>
                    </a:xfrm>
                    <a:prstGeom prst="rect"/>
                  </pic:spPr>
                </pic:pic>
              </a:graphicData>
            </a:graphic>
          </wp:inline>
        </w:drawing>
      </w:r>
    </w:p>
    <w:p>
      <w:pPr>
        <w:spacing w:after="240"/>
        <w:jc w:val="center"/>
      </w:pPr>
      <w:r>
        <w:rPr>
          <w:rFonts w:ascii="Times New Roman" w:hAnsi="Times New Roman"/>
          <w:b/>
          <w:sz w:val="20"/>
        </w:rPr>
        <w:t>Figure 4.4: Headrest-embedded EEG sensor configuration showing O1/O2 electrode placement</w:t>
      </w:r>
    </w:p>
    <w:p>
      <w:pPr>
        <w:spacing w:before="240"/>
        <w:jc w:val="center"/>
      </w:pPr>
      <w:r>
        <w:rPr>
          <w:rFonts w:ascii="Times New Roman" w:hAnsi="Times New Roman"/>
          <w:b/>
          <w:sz w:val="20"/>
        </w:rPr>
        <w:t>Table 4.2: Hardware Specifications for the Headrest EEG Module</w:t>
      </w:r>
    </w:p>
    <w:tbl>
      <w:tblPr>
        <w:tblStyle w:val="TableGrid"/>
        <w:tblW w:type="auto" w:w="0"/>
        <w:jc w:val="center"/>
        <w:tblLook w:firstColumn="1" w:firstRow="1" w:lastColumn="0" w:lastRow="0" w:noHBand="0" w:noVBand="1" w:val="04A0"/>
      </w:tblPr>
      <w:tblGrid>
        <w:gridCol w:w="4500"/>
        <w:gridCol w:w="4500"/>
      </w:tblGrid>
      <w:tr>
        <w:tc>
          <w:tcPr>
            <w:tcW w:type="dxa" w:w="4500"/>
          </w:tcPr>
          <w:p>
            <w:pPr>
              <w:jc w:val="center"/>
            </w:pPr>
            <w:r>
              <w:rPr>
                <w:rFonts w:ascii="Times New Roman" w:hAnsi="Times New Roman"/>
                <w:b/>
                <w:sz w:val="20"/>
              </w:rPr>
              <w:t>Component</w:t>
            </w:r>
          </w:p>
        </w:tc>
        <w:tc>
          <w:tcPr>
            <w:tcW w:type="dxa" w:w="4500"/>
          </w:tcPr>
          <w:p>
            <w:pPr>
              <w:jc w:val="center"/>
            </w:pPr>
            <w:r>
              <w:rPr>
                <w:rFonts w:ascii="Times New Roman" w:hAnsi="Times New Roman"/>
                <w:b/>
                <w:sz w:val="20"/>
              </w:rPr>
              <w:t>Specification</w:t>
            </w:r>
          </w:p>
        </w:tc>
      </w:tr>
      <w:tr>
        <w:tc>
          <w:tcPr>
            <w:tcW w:type="dxa" w:w="4500"/>
          </w:tcPr>
          <w:p>
            <w:pPr>
              <w:jc w:val="center"/>
            </w:pPr>
            <w:r>
              <w:rPr>
                <w:rFonts w:ascii="Times New Roman" w:hAnsi="Times New Roman"/>
                <w:sz w:val="20"/>
              </w:rPr>
              <w:t>Electrodes</w:t>
            </w:r>
          </w:p>
        </w:tc>
        <w:tc>
          <w:tcPr>
            <w:tcW w:type="dxa" w:w="4500"/>
          </w:tcPr>
          <w:p>
            <w:pPr>
              <w:jc w:val="center"/>
            </w:pPr>
            <w:r>
              <w:rPr>
                <w:rFonts w:ascii="Times New Roman" w:hAnsi="Times New Roman"/>
                <w:sz w:val="20"/>
              </w:rPr>
              <w:t>Dry silicone-textile, 10 mm diameter, Ag/AgCl coated</w:t>
            </w:r>
          </w:p>
        </w:tc>
      </w:tr>
      <w:tr>
        <w:tc>
          <w:tcPr>
            <w:tcW w:type="dxa" w:w="4500"/>
          </w:tcPr>
          <w:p>
            <w:pPr>
              <w:jc w:val="center"/>
            </w:pPr>
            <w:r>
              <w:rPr>
                <w:rFonts w:ascii="Times New Roman" w:hAnsi="Times New Roman"/>
                <w:sz w:val="20"/>
              </w:rPr>
              <w:t>Channels</w:t>
            </w:r>
          </w:p>
        </w:tc>
        <w:tc>
          <w:tcPr>
            <w:tcW w:type="dxa" w:w="4500"/>
          </w:tcPr>
          <w:p>
            <w:pPr>
              <w:jc w:val="center"/>
            </w:pPr>
            <w:r>
              <w:rPr>
                <w:rFonts w:ascii="Times New Roman" w:hAnsi="Times New Roman"/>
                <w:sz w:val="20"/>
              </w:rPr>
              <w:t>2 (O1 + O2) + 1 reference</w:t>
            </w:r>
          </w:p>
        </w:tc>
      </w:tr>
      <w:tr>
        <w:tc>
          <w:tcPr>
            <w:tcW w:type="dxa" w:w="4500"/>
          </w:tcPr>
          <w:p>
            <w:pPr>
              <w:jc w:val="center"/>
            </w:pPr>
            <w:r>
              <w:rPr>
                <w:rFonts w:ascii="Times New Roman" w:hAnsi="Times New Roman"/>
                <w:sz w:val="20"/>
              </w:rPr>
              <w:t>Sampling rate</w:t>
            </w:r>
          </w:p>
        </w:tc>
        <w:tc>
          <w:tcPr>
            <w:tcW w:type="dxa" w:w="4500"/>
          </w:tcPr>
          <w:p>
            <w:pPr>
              <w:jc w:val="center"/>
            </w:pPr>
            <w:r>
              <w:rPr>
                <w:rFonts w:ascii="Times New Roman" w:hAnsi="Times New Roman"/>
                <w:sz w:val="20"/>
              </w:rPr>
              <w:t>128 Hz (min), 256 Hz (optimal)</w:t>
            </w:r>
          </w:p>
        </w:tc>
      </w:tr>
      <w:tr>
        <w:tc>
          <w:tcPr>
            <w:tcW w:type="dxa" w:w="4500"/>
          </w:tcPr>
          <w:p>
            <w:pPr>
              <w:jc w:val="center"/>
            </w:pPr>
            <w:r>
              <w:rPr>
                <w:rFonts w:ascii="Times New Roman" w:hAnsi="Times New Roman"/>
                <w:sz w:val="20"/>
              </w:rPr>
              <w:t>ADC resolution</w:t>
            </w:r>
          </w:p>
        </w:tc>
        <w:tc>
          <w:tcPr>
            <w:tcW w:type="dxa" w:w="4500"/>
          </w:tcPr>
          <w:p>
            <w:pPr>
              <w:jc w:val="center"/>
            </w:pPr>
            <w:r>
              <w:rPr>
                <w:rFonts w:ascii="Times New Roman" w:hAnsi="Times New Roman"/>
                <w:sz w:val="20"/>
              </w:rPr>
              <w:t>16-bit minimum, 24-bit preferred</w:t>
            </w:r>
          </w:p>
        </w:tc>
      </w:tr>
      <w:tr>
        <w:tc>
          <w:tcPr>
            <w:tcW w:type="dxa" w:w="4500"/>
          </w:tcPr>
          <w:p>
            <w:pPr>
              <w:jc w:val="center"/>
            </w:pPr>
            <w:r>
              <w:rPr>
                <w:rFonts w:ascii="Times New Roman" w:hAnsi="Times New Roman"/>
                <w:sz w:val="20"/>
              </w:rPr>
              <w:t>Input impedance</w:t>
            </w:r>
          </w:p>
        </w:tc>
        <w:tc>
          <w:tcPr>
            <w:tcW w:type="dxa" w:w="4500"/>
          </w:tcPr>
          <w:p>
            <w:pPr>
              <w:jc w:val="center"/>
            </w:pPr>
            <w:r>
              <w:rPr>
                <w:rFonts w:ascii="Times New Roman" w:hAnsi="Times New Roman"/>
                <w:sz w:val="20"/>
              </w:rPr>
              <w:t>&gt;10 MΩ</w:t>
            </w:r>
          </w:p>
        </w:tc>
      </w:tr>
      <w:tr>
        <w:tc>
          <w:tcPr>
            <w:tcW w:type="dxa" w:w="4500"/>
          </w:tcPr>
          <w:p>
            <w:pPr>
              <w:jc w:val="center"/>
            </w:pPr>
            <w:r>
              <w:rPr>
                <w:rFonts w:ascii="Times New Roman" w:hAnsi="Times New Roman"/>
                <w:sz w:val="20"/>
              </w:rPr>
              <w:t>Processor</w:t>
            </w:r>
          </w:p>
        </w:tc>
        <w:tc>
          <w:tcPr>
            <w:tcW w:type="dxa" w:w="4500"/>
          </w:tcPr>
          <w:p>
            <w:pPr>
              <w:jc w:val="center"/>
            </w:pPr>
            <w:r>
              <w:rPr>
                <w:rFonts w:ascii="Times New Roman" w:hAnsi="Times New Roman"/>
                <w:sz w:val="20"/>
              </w:rPr>
              <w:t>ARM Cortex-M4 with FPU</w:t>
            </w:r>
          </w:p>
        </w:tc>
      </w:tr>
      <w:tr>
        <w:tc>
          <w:tcPr>
            <w:tcW w:type="dxa" w:w="4500"/>
          </w:tcPr>
          <w:p>
            <w:pPr>
              <w:jc w:val="center"/>
            </w:pPr>
            <w:r>
              <w:rPr>
                <w:rFonts w:ascii="Times New Roman" w:hAnsi="Times New Roman"/>
                <w:sz w:val="20"/>
              </w:rPr>
              <w:t>Connectivity</w:t>
            </w:r>
          </w:p>
        </w:tc>
        <w:tc>
          <w:tcPr>
            <w:tcW w:type="dxa" w:w="4500"/>
          </w:tcPr>
          <w:p>
            <w:pPr>
              <w:jc w:val="center"/>
            </w:pPr>
            <w:r>
              <w:rPr>
                <w:rFonts w:ascii="Times New Roman" w:hAnsi="Times New Roman"/>
                <w:sz w:val="20"/>
              </w:rPr>
              <w:t>CAN bus (vehicle) + Bluetooth (optional)</w:t>
            </w:r>
          </w:p>
        </w:tc>
      </w:tr>
      <w:tr>
        <w:tc>
          <w:tcPr>
            <w:tcW w:type="dxa" w:w="4500"/>
          </w:tcPr>
          <w:p>
            <w:pPr>
              <w:jc w:val="center"/>
            </w:pPr>
            <w:r>
              <w:rPr>
                <w:rFonts w:ascii="Times New Roman" w:hAnsi="Times New Roman"/>
                <w:sz w:val="20"/>
              </w:rPr>
              <w:t>Power consumption</w:t>
            </w:r>
          </w:p>
        </w:tc>
        <w:tc>
          <w:tcPr>
            <w:tcW w:type="dxa" w:w="4500"/>
          </w:tcPr>
          <w:p>
            <w:pPr>
              <w:jc w:val="center"/>
            </w:pPr>
            <w:r>
              <w:rPr>
                <w:rFonts w:ascii="Times New Roman" w:hAnsi="Times New Roman"/>
                <w:sz w:val="20"/>
              </w:rPr>
              <w:t>&lt;6W from 12V vehicle supply</w:t>
            </w:r>
          </w:p>
        </w:tc>
      </w:tr>
      <w:tr>
        <w:tc>
          <w:tcPr>
            <w:tcW w:type="dxa" w:w="4500"/>
          </w:tcPr>
          <w:p>
            <w:pPr>
              <w:jc w:val="center"/>
            </w:pPr>
            <w:r>
              <w:rPr>
                <w:rFonts w:ascii="Times New Roman" w:hAnsi="Times New Roman"/>
                <w:sz w:val="20"/>
              </w:rPr>
              <w:t>Electrode impedance</w:t>
            </w:r>
          </w:p>
        </w:tc>
        <w:tc>
          <w:tcPr>
            <w:tcW w:type="dxa" w:w="4500"/>
          </w:tcPr>
          <w:p>
            <w:pPr>
              <w:jc w:val="center"/>
            </w:pPr>
            <w:r>
              <w:rPr>
                <w:rFonts w:ascii="Times New Roman" w:hAnsi="Times New Roman"/>
                <w:sz w:val="20"/>
              </w:rPr>
              <w:t>&lt;50 kΩ optimal, &lt;100 kΩ acceptable</w:t>
            </w:r>
          </w:p>
        </w:tc>
      </w:tr>
    </w:tbl>
    <w:p/>
    <w:p>
      <w:pPr>
        <w:spacing w:before="280" w:after="160"/>
        <w:jc w:val="left"/>
      </w:pPr>
      <w:r>
        <w:rPr>
          <w:rFonts w:ascii="Times New Roman" w:hAnsi="Times New Roman"/>
          <w:b/>
          <w:sz w:val="26"/>
        </w:rPr>
        <w:t>4.4  Signal Preprocessing</w:t>
      </w:r>
    </w:p>
    <w:p>
      <w:pPr>
        <w:spacing w:line="360" w:lineRule="auto"/>
        <w:jc w:val="both"/>
      </w:pPr>
      <w:r>
        <w:rPr>
          <w:rFonts w:ascii="Times New Roman" w:hAnsi="Times New Roman"/>
          <w:sz w:val="24"/>
        </w:rPr>
        <w:t>Each O1/O2 EDF recording was bandpass filtered to 1–40 Hz using MNE-Python's default zero-phase FIR design (Hamming-windowed sinc, transition bandwidth 1 Hz on both sides, firwin). The 1 Hz high-pass removed slow baseline drift and DC offset from electrode impedance fluctuations; the 40 Hz low-pass attenuated powerline interference (50/60 Hz) and high-frequency muscle artifact while preserving the delta, theta, alpha, and beta bands. FIR filtering was preferred over Butterworth because its exactly linear phase response avoids temporal smearing of event-related features, which is important for the coherence and entropy measures used downstream.</w:t>
      </w:r>
    </w:p>
    <w:p>
      <w:pPr>
        <w:spacing w:line="360" w:lineRule="auto"/>
        <w:jc w:val="both"/>
      </w:pPr>
      <w:r>
        <w:rPr>
          <w:rFonts w:ascii="Times New Roman" w:hAnsi="Times New Roman"/>
          <w:sz w:val="24"/>
        </w:rPr>
        <w:t>Filtered signals were segmented into 10-second non-overlapping epochs (1,280 samples per epoch at 128 Hz). A 10-second window was chosen as a compromise between spectral resolution (0.1 Hz bin width from a 10-s Welch segment, sufficient to resolve sub-bands) and temporal responsiveness (10-s update cadence). Non-overlapping epochs were used so that every feature vector represented independent data — this matters for the Leave-One-Subject-Out evaluation in Section 4.6, because overlapping windows would leak information across train/test folds. Across the 10 DROZY subjects × 2 sessions, preprocessing yielded 14,498 epochs (approximately 7,234 awake and 7,264 drowsy).</w:t>
      </w:r>
    </w:p>
    <w:p>
      <w:pPr>
        <w:jc w:val="center"/>
      </w:pPr>
      <w:r>
        <w:drawing>
          <wp:inline xmlns:a="http://schemas.openxmlformats.org/drawingml/2006/main" xmlns:pic="http://schemas.openxmlformats.org/drawingml/2006/picture">
            <wp:extent cx="4572000" cy="2636553"/>
            <wp:docPr id="5" name="Picture 5"/>
            <wp:cNvGraphicFramePr>
              <a:graphicFrameLocks noChangeAspect="1"/>
            </wp:cNvGraphicFramePr>
            <a:graphic>
              <a:graphicData uri="http://schemas.openxmlformats.org/drawingml/2006/picture">
                <pic:pic>
                  <pic:nvPicPr>
                    <pic:cNvPr id="0" name="Raw_Comparison.png"/>
                    <pic:cNvPicPr/>
                  </pic:nvPicPr>
                  <pic:blipFill>
                    <a:blip r:embed="rId13"/>
                    <a:stretch>
                      <a:fillRect/>
                    </a:stretch>
                  </pic:blipFill>
                  <pic:spPr>
                    <a:xfrm>
                      <a:off x="0" y="0"/>
                      <a:ext cx="4572000" cy="2636553"/>
                    </a:xfrm>
                    <a:prstGeom prst="rect"/>
                  </pic:spPr>
                </pic:pic>
              </a:graphicData>
            </a:graphic>
          </wp:inline>
        </w:drawing>
      </w:r>
    </w:p>
    <w:p>
      <w:pPr>
        <w:spacing w:after="240"/>
        <w:jc w:val="center"/>
      </w:pPr>
      <w:r>
        <w:rPr>
          <w:rFonts w:ascii="Times New Roman" w:hAnsi="Times New Roman"/>
          <w:b/>
          <w:sz w:val="20"/>
        </w:rPr>
        <w:t>Figure 4.5: Raw EEG comparison — Awake (Session 1) vs. Drowsy (Session 2) for O1 and O2 channels, showing the increase in low-frequency rhythmic activity during drowsiness.</w:t>
      </w:r>
    </w:p>
    <w:p>
      <w:pPr>
        <w:spacing w:before="280" w:after="160"/>
        <w:jc w:val="left"/>
      </w:pPr>
      <w:r>
        <w:rPr>
          <w:rFonts w:ascii="Times New Roman" w:hAnsi="Times New Roman"/>
          <w:b/>
          <w:sz w:val="26"/>
        </w:rPr>
        <w:t>4.5  Feature Extraction</w:t>
      </w:r>
    </w:p>
    <w:p>
      <w:pPr>
        <w:spacing w:line="360" w:lineRule="auto"/>
        <w:jc w:val="both"/>
      </w:pPr>
      <w:r>
        <w:rPr>
          <w:rFonts w:ascii="Times New Roman" w:hAnsi="Times New Roman"/>
          <w:sz w:val="24"/>
        </w:rPr>
        <w:t>Three feature tiers were evaluated in this work. The baseline 30-feature set reproduced the classical drowsiness biomarker literature (band powers, band-ratio, spectral entropy, Hjorth parameters, zero-crossing rate, skewness per O1/O2 channel plus six cross-channel asymmetry features). An extended 50-feature set augmented this with 20 additional features drawn from modern EEG literature: discrete wavelet transform (db4, 5-level) sub-band energies, sample entropy and permutation entropy, the aperiodic 1/f slope, peak alpha frequency difference, and coherence in the theta, alpha, and beta bands. The final lean set retained only the 10 features that drove the headline result (Section 4.7 ablation).</w:t>
      </w:r>
    </w:p>
    <w:p>
      <w:pPr>
        <w:spacing w:before="200" w:after="120"/>
        <w:jc w:val="left"/>
      </w:pPr>
      <w:r>
        <w:rPr>
          <w:rFonts w:ascii="Times New Roman" w:hAnsi="Times New Roman"/>
          <w:b/>
          <w:sz w:val="24"/>
        </w:rPr>
        <w:t>4.5.1  Baseline Per-Channel Features</w:t>
      </w:r>
    </w:p>
    <w:p>
      <w:pPr>
        <w:spacing w:line="360" w:lineRule="auto"/>
        <w:jc w:val="both"/>
      </w:pPr>
      <w:r>
        <w:rPr>
          <w:rFonts w:ascii="Times New Roman" w:hAnsi="Times New Roman"/>
          <w:sz w:val="24"/>
        </w:rPr>
        <w:t>For each channel (O1, O2) and each epoch, Welch's method (2-s segments, 50% overlap, Hann window) estimated the PSD. Band power was integrated trapezoidally over the delta (0.5–4 Hz), theta (4–8 Hz), alpha (8–13 Hz), and beta (13–30 Hz) bands. Two band ratios — theta/alpha and (theta+alpha)/(alpha+beta) — were computed as drowsiness-sensitive biomarkers. Spectral entropy H_spec = −Σ p_i log p_i, with p_i the normalised PSD bin, quantified the irregularity of the frequency distribution. Hjorth activity, mobility, and complexity captured time-domain signal complexity. Zero-crossing rate and skewness completed the 15-feature per-channel vector.</w:t>
      </w:r>
    </w:p>
    <w:p>
      <w:pPr>
        <w:spacing w:before="200" w:after="120"/>
        <w:jc w:val="left"/>
      </w:pPr>
      <w:r>
        <w:rPr>
          <w:rFonts w:ascii="Times New Roman" w:hAnsi="Times New Roman"/>
          <w:b/>
          <w:sz w:val="24"/>
        </w:rPr>
        <w:t>4.5.2  Extended Per-Channel Features</w:t>
      </w:r>
    </w:p>
    <w:p>
      <w:pPr>
        <w:spacing w:line="360" w:lineRule="auto"/>
        <w:jc w:val="both"/>
      </w:pPr>
      <w:r>
        <w:rPr>
          <w:rFonts w:ascii="Times New Roman" w:hAnsi="Times New Roman"/>
          <w:sz w:val="24"/>
        </w:rPr>
        <w:t>Five additional per-channel features captured non-spectral structure. Discrete wavelet energies E_k = Σ |c_k[n]|² (k = 0..4) over the db4 5-level decomposition (sub-bands A5, D5, D4, D3, D2) provided time-frequency localisation complementary to Welch. Sample entropy SampEn(m=2, r=0.2·σ) and permutation entropy PermEn(order=3) quantified signal irregularity in a scale-free manner. The aperiodic 1/f slope was fit by linear regression of log_{10}(PSD) against log_{10}(f) over 2–40 Hz; physiologically, flattening of this slope (less negative values) has been linked to reduced cortical arousal.</w:t>
      </w:r>
    </w:p>
    <w:p>
      <w:pPr>
        <w:spacing w:before="200" w:after="120"/>
        <w:jc w:val="left"/>
      </w:pPr>
      <w:r>
        <w:rPr>
          <w:rFonts w:ascii="Times New Roman" w:hAnsi="Times New Roman"/>
          <w:b/>
          <w:sz w:val="24"/>
        </w:rPr>
        <w:t>4.5.3  Cross-Channel Features</w:t>
      </w:r>
    </w:p>
    <w:p>
      <w:pPr>
        <w:spacing w:line="360" w:lineRule="auto"/>
        <w:jc w:val="both"/>
      </w:pPr>
      <w:r>
        <w:rPr>
          <w:rFonts w:ascii="Times New Roman" w:hAnsi="Times New Roman"/>
          <w:sz w:val="24"/>
        </w:rPr>
        <w:t>Four cross-channel features captured O1↔O2 interaction, which is physiologically meaningful at the occipital pole because of the tight inter-hemispheric coupling of visual/alpha rhythms. Peak alpha frequency (PAF) was the argmax of PSD within 8–13 Hz, and its |PAF_O1 − PAF_O2| difference was included. Magnitude-squared coherence C_xy(f) = |P_xy(f)|² / (P_xx(f)·P_yy(f)) was averaged within the theta, alpha, and beta bands to produce three coherence features.</w:t>
      </w:r>
    </w:p>
    <w:p>
      <w:pPr>
        <w:spacing w:before="240"/>
        <w:jc w:val="center"/>
      </w:pPr>
      <w:r>
        <w:rPr>
          <w:rFonts w:ascii="Times New Roman" w:hAnsi="Times New Roman"/>
          <w:b/>
          <w:sz w:val="20"/>
        </w:rPr>
        <w:t>Table 4.2: Feature Tiers Evaluated in this Work</w:t>
      </w:r>
    </w:p>
    <w:tbl>
      <w:tblPr>
        <w:tblStyle w:val="TableGrid"/>
        <w:tblW w:type="auto" w:w="0"/>
        <w:jc w:val="center"/>
        <w:tblLook w:firstColumn="1" w:firstRow="1" w:lastColumn="0" w:lastRow="0" w:noHBand="0" w:noVBand="1" w:val="04A0"/>
      </w:tblPr>
      <w:tblGrid>
        <w:gridCol w:w="3000"/>
        <w:gridCol w:w="3000"/>
        <w:gridCol w:w="3000"/>
      </w:tblGrid>
      <w:tr>
        <w:tc>
          <w:tcPr>
            <w:tcW w:type="dxa" w:w="3000"/>
          </w:tcPr>
          <w:p>
            <w:pPr>
              <w:jc w:val="center"/>
            </w:pPr>
            <w:r>
              <w:rPr>
                <w:rFonts w:ascii="Times New Roman" w:hAnsi="Times New Roman"/>
                <w:b/>
                <w:sz w:val="20"/>
              </w:rPr>
              <w:t>Tier</w:t>
            </w:r>
          </w:p>
        </w:tc>
        <w:tc>
          <w:tcPr>
            <w:tcW w:type="dxa" w:w="3000"/>
          </w:tcPr>
          <w:p>
            <w:pPr>
              <w:jc w:val="center"/>
            </w:pPr>
            <w:r>
              <w:rPr>
                <w:rFonts w:ascii="Times New Roman" w:hAnsi="Times New Roman"/>
                <w:b/>
                <w:sz w:val="20"/>
              </w:rPr>
              <w:t>Count</w:t>
            </w:r>
          </w:p>
        </w:tc>
        <w:tc>
          <w:tcPr>
            <w:tcW w:type="dxa" w:w="3000"/>
          </w:tcPr>
          <w:p>
            <w:pPr>
              <w:jc w:val="center"/>
            </w:pPr>
            <w:r>
              <w:rPr>
                <w:rFonts w:ascii="Times New Roman" w:hAnsi="Times New Roman"/>
                <w:b/>
                <w:sz w:val="20"/>
              </w:rPr>
              <w:t>Contents</w:t>
            </w:r>
          </w:p>
        </w:tc>
      </w:tr>
      <w:tr>
        <w:tc>
          <w:tcPr>
            <w:tcW w:type="dxa" w:w="3000"/>
          </w:tcPr>
          <w:p>
            <w:pPr>
              <w:jc w:val="center"/>
            </w:pPr>
            <w:r>
              <w:rPr>
                <w:rFonts w:ascii="Times New Roman" w:hAnsi="Times New Roman"/>
                <w:sz w:val="20"/>
              </w:rPr>
              <w:t>Baseline (v3 / v5)</w:t>
            </w:r>
          </w:p>
        </w:tc>
        <w:tc>
          <w:tcPr>
            <w:tcW w:type="dxa" w:w="3000"/>
          </w:tcPr>
          <w:p>
            <w:pPr>
              <w:jc w:val="center"/>
            </w:pPr>
            <w:r>
              <w:rPr>
                <w:rFonts w:ascii="Times New Roman" w:hAnsi="Times New Roman"/>
                <w:sz w:val="20"/>
              </w:rPr>
              <w:t>30</w:t>
            </w:r>
          </w:p>
        </w:tc>
        <w:tc>
          <w:tcPr>
            <w:tcW w:type="dxa" w:w="3000"/>
          </w:tcPr>
          <w:p>
            <w:pPr>
              <w:jc w:val="center"/>
            </w:pPr>
            <w:r>
              <w:rPr>
                <w:rFonts w:ascii="Times New Roman" w:hAnsi="Times New Roman"/>
                <w:sz w:val="20"/>
              </w:rPr>
              <w:t>Per-channel: band powers (δ, θ, α, β); band ratios (θ/α, slow/fast); spectral entropy; Hjorth activity/mobility/complexity; zero-crossing rate; skewness. Cross-channel: band asymmetries; total θ/α; mean θ/α ratio.</w:t>
            </w:r>
          </w:p>
        </w:tc>
      </w:tr>
      <w:tr>
        <w:tc>
          <w:tcPr>
            <w:tcW w:type="dxa" w:w="3000"/>
          </w:tcPr>
          <w:p>
            <w:pPr>
              <w:jc w:val="center"/>
            </w:pPr>
            <w:r>
              <w:rPr>
                <w:rFonts w:ascii="Times New Roman" w:hAnsi="Times New Roman"/>
                <w:sz w:val="20"/>
              </w:rPr>
              <w:t>Extended (v9)</w:t>
            </w:r>
          </w:p>
        </w:tc>
        <w:tc>
          <w:tcPr>
            <w:tcW w:type="dxa" w:w="3000"/>
          </w:tcPr>
          <w:p>
            <w:pPr>
              <w:jc w:val="center"/>
            </w:pPr>
            <w:r>
              <w:rPr>
                <w:rFonts w:ascii="Times New Roman" w:hAnsi="Times New Roman"/>
                <w:sz w:val="20"/>
              </w:rPr>
              <w:t>50</w:t>
            </w:r>
          </w:p>
        </w:tc>
        <w:tc>
          <w:tcPr>
            <w:tcW w:type="dxa" w:w="3000"/>
          </w:tcPr>
          <w:p>
            <w:pPr>
              <w:jc w:val="center"/>
            </w:pPr>
            <w:r>
              <w:rPr>
                <w:rFonts w:ascii="Times New Roman" w:hAnsi="Times New Roman"/>
                <w:sz w:val="20"/>
              </w:rPr>
              <w:t>Baseline + per-channel DWT sub-band energies (5); per-channel sample entropy and permutation entropy (2); per-channel 1/f slope (1); cross-channel PAF Δ (1); cross-channel θ/α/β coherence (3).</w:t>
            </w:r>
          </w:p>
        </w:tc>
      </w:tr>
      <w:tr>
        <w:tc>
          <w:tcPr>
            <w:tcW w:type="dxa" w:w="3000"/>
          </w:tcPr>
          <w:p>
            <w:pPr>
              <w:jc w:val="center"/>
            </w:pPr>
            <w:r>
              <w:rPr>
                <w:rFonts w:ascii="Times New Roman" w:hAnsi="Times New Roman"/>
                <w:sz w:val="20"/>
              </w:rPr>
              <w:t>Lean (v11, headline)</w:t>
            </w:r>
          </w:p>
        </w:tc>
        <w:tc>
          <w:tcPr>
            <w:tcW w:type="dxa" w:w="3000"/>
          </w:tcPr>
          <w:p>
            <w:pPr>
              <w:jc w:val="center"/>
            </w:pPr>
            <w:r>
              <w:rPr>
                <w:rFonts w:ascii="Times New Roman" w:hAnsi="Times New Roman"/>
                <w:sz w:val="20"/>
              </w:rPr>
              <w:t>10</w:t>
            </w:r>
          </w:p>
        </w:tc>
        <w:tc>
          <w:tcPr>
            <w:tcW w:type="dxa" w:w="3000"/>
          </w:tcPr>
          <w:p>
            <w:pPr>
              <w:jc w:val="center"/>
            </w:pPr>
            <w:r>
              <w:rPr>
                <w:rFonts w:ascii="Times New Roman" w:hAnsi="Times New Roman"/>
                <w:sz w:val="20"/>
              </w:rPr>
              <w:t>Only the extended families that carried non-redundant information: per-channel sample entropy (2), permutation entropy (2), 1/f slope (2); cross-channel PAF Δ (1); cross-channel θ/α/β coherence (3).</w:t>
            </w:r>
          </w:p>
        </w:tc>
      </w:tr>
    </w:tbl>
    <w:p/>
    <w:p>
      <w:pPr>
        <w:jc w:val="center"/>
      </w:pPr>
      <w:r>
        <w:drawing>
          <wp:inline xmlns:a="http://schemas.openxmlformats.org/drawingml/2006/main" xmlns:pic="http://schemas.openxmlformats.org/drawingml/2006/picture">
            <wp:extent cx="4114800" cy="1800683"/>
            <wp:docPr id="6" name="Picture 6"/>
            <wp:cNvGraphicFramePr>
              <a:graphicFrameLocks noChangeAspect="1"/>
            </wp:cNvGraphicFramePr>
            <a:graphic>
              <a:graphicData uri="http://schemas.openxmlformats.org/drawingml/2006/picture">
                <pic:pic>
                  <pic:nvPicPr>
                    <pic:cNvPr id="0" name="ML_Flowchart.png"/>
                    <pic:cNvPicPr/>
                  </pic:nvPicPr>
                  <pic:blipFill>
                    <a:blip r:embed="rId14"/>
                    <a:stretch>
                      <a:fillRect/>
                    </a:stretch>
                  </pic:blipFill>
                  <pic:spPr>
                    <a:xfrm>
                      <a:off x="0" y="0"/>
                      <a:ext cx="4114800" cy="1800683"/>
                    </a:xfrm>
                    <a:prstGeom prst="rect"/>
                  </pic:spPr>
                </pic:pic>
              </a:graphicData>
            </a:graphic>
          </wp:inline>
        </w:drawing>
      </w:r>
    </w:p>
    <w:p>
      <w:pPr>
        <w:spacing w:after="240"/>
        <w:jc w:val="center"/>
      </w:pPr>
      <w:r>
        <w:rPr>
          <w:rFonts w:ascii="Times New Roman" w:hAnsi="Times New Roman"/>
          <w:b/>
          <w:sz w:val="20"/>
        </w:rPr>
        <w:t>Figure 4.6: Feature extraction and classification pipeline (10-s epoch → Welch/DWT/coherence → per-subject z-score → LDA).</w:t>
      </w:r>
    </w:p>
    <w:p>
      <w:pPr>
        <w:spacing w:before="280" w:after="160"/>
        <w:jc w:val="left"/>
      </w:pPr>
      <w:r>
        <w:rPr>
          <w:rFonts w:ascii="Times New Roman" w:hAnsi="Times New Roman"/>
          <w:b/>
          <w:sz w:val="26"/>
        </w:rPr>
        <w:t>4.6  Classification and Evaluation Protocol</w:t>
      </w:r>
    </w:p>
    <w:p>
      <w:pPr>
        <w:spacing w:line="360" w:lineRule="auto"/>
        <w:jc w:val="both"/>
      </w:pPr>
      <w:r>
        <w:rPr>
          <w:rFonts w:ascii="Times New Roman" w:hAnsi="Times New Roman"/>
          <w:sz w:val="24"/>
        </w:rPr>
        <w:t>Linear Discriminant Analysis (LDA) with automatic Ledoit–Wolf shrinkage (solver=lsqr, shrinkage='auto') was the primary classifier for the feature-based pipelines. Shrinkage LDA was selected for three reasons: (i) it is statistically consistent even when the sample count is comparable to the feature count, (ii) its analytic closed-form fit avoids the instability of stochastic optimisers on the small DROZY dataset, and (iii) it produced the highest per-subject F1 across all the classifiers surveyed (including Logistic Regression, SVM, Gradient Boosting, Random Forest, and a Riemannian tangent-space + LDA baseline). A class-balanced Logistic Regression and a Riemannian tangent-space + LDA variant are retained as reported comparators in Chapter 5.</w:t>
      </w:r>
    </w:p>
    <w:p>
      <w:pPr>
        <w:spacing w:line="360" w:lineRule="auto"/>
        <w:jc w:val="both"/>
      </w:pPr>
      <w:r>
        <w:rPr>
          <w:rFonts w:ascii="Times New Roman" w:hAnsi="Times New Roman"/>
          <w:sz w:val="24"/>
        </w:rPr>
        <w:t>Per-subject z-score normalisation was applied before classification using the subject's own session-1 (awake) epochs as the calibration sample. Formally, for each subject s and feature column j the normalised feature was x̃_{s,j} = (x_{s,j} − μ_{s,j}) / σ_{s,j}, where μ_{s,j} and σ_{s,j} were the mean and standard deviation computed over subject s's awake epochs only. This 'subject_awake' scheme was preferred over a global scaler because individual resting-EEG amplitudes vary by an order of magnitude across subjects, and over a 'subject_both' scheme (using both awake and drowsy epochs) because the latter subtly leaks drowsy-class statistics into the feature standardisation. A calibration-window variant, where only the first 60 seconds of session-1 EEG defined μ and σ, was additionally evaluated (Chapter 5, Section 5.2.4) because it is the setting realistically available at deployment.</w:t>
      </w:r>
    </w:p>
    <w:p>
      <w:pPr>
        <w:spacing w:line="360" w:lineRule="auto"/>
        <w:jc w:val="both"/>
      </w:pPr>
      <w:r>
        <w:rPr>
          <w:rFonts w:ascii="Times New Roman" w:hAnsi="Times New Roman"/>
          <w:sz w:val="24"/>
        </w:rPr>
        <w:t>Evaluation used a strict Leave-One-Subject-Out (LOSO) cross-validation. In each of 10 outer folds, one subject's 1,400–1,500 epochs were withheld as the test set and the remaining 9 subjects formed the training set. Per-subject z-score statistics were computed within the training fold only. Reported overall metrics (accuracy, weighted F1, AUC-ROC, Cohen's κ) were computed by concatenating the 10 held-out prediction arrays. Per-subject metrics were computed on each fold's test set and summarised with their mean and 95% confidence interval (t-distribution) in Chapter 5.</w:t>
      </w:r>
    </w:p>
    <w:p>
      <w:pPr>
        <w:spacing w:line="360" w:lineRule="auto"/>
        <w:jc w:val="both"/>
      </w:pPr>
      <w:r>
        <w:rPr>
          <w:rFonts w:ascii="Times New Roman" w:hAnsi="Times New Roman"/>
          <w:sz w:val="24"/>
        </w:rPr>
        <w:t>The weighted F1 score was chosen as the primary selection metric because the two classes were approximately balanced (50/50) but not exactly so, and weighted-F1 accounts for minor imbalances while penalising single-class predictions. Cohen's κ was reported alongside as a leakage-sanity check: because it is zero for any constant predictor, κ ≥ 0.20 under LOSO is a minimum bar for non-trivial subject-generalisation.</w:t>
      </w:r>
    </w:p>
    <w:p>
      <w:pPr>
        <w:spacing w:before="280" w:after="160"/>
        <w:jc w:val="left"/>
      </w:pPr>
      <w:r>
        <w:rPr>
          <w:rFonts w:ascii="Times New Roman" w:hAnsi="Times New Roman"/>
          <w:b/>
          <w:sz w:val="26"/>
        </w:rPr>
        <w:t>4.7  Feature-Family Ablation and Baseline Comparators</w:t>
      </w:r>
    </w:p>
    <w:p>
      <w:pPr>
        <w:spacing w:line="360" w:lineRule="auto"/>
        <w:jc w:val="both"/>
      </w:pPr>
      <w:r>
        <w:rPr>
          <w:rFonts w:ascii="Times New Roman" w:hAnsi="Times New Roman"/>
          <w:sz w:val="24"/>
        </w:rPr>
        <w:t>A feature-family ablation was conducted to identify which of the extended families in the 50-feature set contributed non-redundant information and to derive the lean 10-feature pipeline used in the headline result. Nine feature sub-sets were evaluated with the same LDA classifier and LOSO protocol: ALL (50), BASE only (30), DROP-DWT (40), DROP-ENT (46), DROP-SLOPE (48), DROP-COH (46), ONLY-DWT (10), ONLY-ENT+SLOPE+COH (10), and NEW-FAMILIES (20 = extended minus BASE). Family sizes are indicated in parentheses. The cached feature matrix (shape 14,498 × 50, stored as features_v9_cache.npz) was re-used so that no feature extraction was re-run. The ablation findings are reported quantitatively in Chapter 5, Section 5.3, and motivate the final lean 10-feature choice.</w:t>
      </w:r>
    </w:p>
    <w:p>
      <w:pPr>
        <w:spacing w:line="360" w:lineRule="auto"/>
        <w:jc w:val="both"/>
      </w:pPr>
      <w:r>
        <w:rPr>
          <w:rFonts w:ascii="Times New Roman" w:hAnsi="Times New Roman"/>
          <w:sz w:val="24"/>
        </w:rPr>
        <w:t>Three comparator baselines beyond the feature-LDA family were trained under the same LOSO protocol to contextualise the headline number:</w:t>
      </w:r>
    </w:p>
    <w:p>
      <w:pPr>
        <w:spacing w:line="360" w:lineRule="auto"/>
        <w:jc w:val="both"/>
      </w:pPr>
      <w:r>
        <w:rPr>
          <w:rFonts w:ascii="Times New Roman" w:hAnsi="Times New Roman"/>
          <w:sz w:val="24"/>
        </w:rPr>
        <w:t>(a) Riemannian tangent-space classifier. A spatial covariance matrix C = X·Xᵀ/N was estimated per epoch from the 2-channel signal using the OAS shrinkage estimator. The 2×2 SPD covariance was projected to the tangent space of the symmetric-positive-definite manifold via the logarithmic map log_{Ĉ}(C) = Ĉ^{1/2}·logm(Ĉ^{-1/2}·C·Ĉ^{-1/2})·Ĉ^{1/2}, where Ĉ was the geometric (Fréchet) mean of the training-fold covariances. The resulting 3-dimensional tangent-space vector was classified by LDA or Logistic Regression. A nested-CV variant used outer LOSO with an inner GroupKFold(3) to tune the shrinkage coefficient.</w:t>
      </w:r>
    </w:p>
    <w:p>
      <w:pPr>
        <w:spacing w:line="360" w:lineRule="auto"/>
        <w:jc w:val="both"/>
      </w:pPr>
      <w:r>
        <w:rPr>
          <w:rFonts w:ascii="Times New Roman" w:hAnsi="Times New Roman"/>
          <w:sz w:val="24"/>
        </w:rPr>
        <w:t>(b) EEGNet (Lawhern et al., 2018). The raw 10-s window (2 × 1,280 float32) was fed directly to an EEGNet-style 2D-CNN with parameters F1=8, D=2, F2=16, kernel sizes (1,32) and (1,16), dropout 0.5, Adam optimiser at lr=10⁻³, batch size 64, 15 training epochs per fold. The spatial depthwise convolution (height 2, corresponding to the two EEG channels) is EEGNet's signature operation, and the comparison tested whether an end-to-end learned representation could outperform the lean handcrafted features at the 2-channel scale.</w:t>
      </w:r>
    </w:p>
    <w:p>
      <w:pPr>
        <w:spacing w:line="360" w:lineRule="auto"/>
        <w:jc w:val="both"/>
      </w:pPr>
      <w:r>
        <w:rPr>
          <w:rFonts w:ascii="Times New Roman" w:hAnsi="Times New Roman"/>
          <w:sz w:val="24"/>
        </w:rPr>
        <w:t>(c) Calibration-window sweep. A feature-LDA variant where the per-subject μ, σ were fit on only the first T seconds of the subject's session-1 EEG, for T ∈ {30, 60, 120, 180, 300}. This addressed the realistic deployment question of how much awake EEG the system must see before producing reliable predictions.</w:t>
      </w:r>
    </w:p>
    <w:p>
      <w:pPr>
        <w:spacing w:before="280" w:after="160"/>
        <w:jc w:val="left"/>
      </w:pPr>
      <w:r>
        <w:rPr>
          <w:rFonts w:ascii="Times New Roman" w:hAnsi="Times New Roman"/>
          <w:b/>
          <w:sz w:val="26"/>
        </w:rPr>
        <w:t>4.8  Cross-Dataset Validation Protocol</w:t>
      </w:r>
    </w:p>
    <w:p>
      <w:pPr>
        <w:spacing w:line="360" w:lineRule="auto"/>
        <w:jc w:val="both"/>
      </w:pPr>
      <w:r>
        <w:rPr>
          <w:rFonts w:ascii="Times New Roman" w:hAnsi="Times New Roman"/>
          <w:sz w:val="24"/>
        </w:rPr>
        <w:t>To test whether the lean pipeline generalises beyond the DROZY cohort, two cross-dataset evaluations were run on SEED-VIG (Section 4.2.2):</w:t>
      </w:r>
    </w:p>
    <w:p>
      <w:pPr>
        <w:spacing w:line="360" w:lineRule="auto"/>
        <w:jc w:val="both"/>
      </w:pPr>
      <w:r>
        <w:rPr>
          <w:rFonts w:ascii="Times New Roman" w:hAnsi="Times New Roman"/>
          <w:sz w:val="24"/>
        </w:rPr>
        <w:t>(i) DROZY → SEED-VIG transfer. The lean 10-feature LDA was trained on the full DROZY dataset (all 10 subjects, 14,498 epochs) and evaluated on SEED-VIG (9,155 labelled epochs from 21 subjects). Per-SEED-VIG-subject z-score used the first 60 seconds of the SEED-VIG session as the awake calibration sample — the realistic deployment analogue of the DROZY session-1 calibration.</w:t>
      </w:r>
    </w:p>
    <w:p>
      <w:pPr>
        <w:spacing w:line="360" w:lineRule="auto"/>
        <w:jc w:val="both"/>
      </w:pPr>
      <w:r>
        <w:rPr>
          <w:rFonts w:ascii="Times New Roman" w:hAnsi="Times New Roman"/>
          <w:sz w:val="24"/>
        </w:rPr>
        <w:t>(ii) SEED-VIG-internal LOSO. A standalone LOSO evaluation was run on SEED-VIG using the identical lean feature pipeline, to provide a reference point for the transfer number and to assess the dataset's internal difficulty.</w:t>
      </w:r>
    </w:p>
    <w:p>
      <w:pPr>
        <w:spacing w:before="280" w:after="160"/>
        <w:jc w:val="left"/>
      </w:pPr>
      <w:r>
        <w:rPr>
          <w:rFonts w:ascii="Times New Roman" w:hAnsi="Times New Roman"/>
          <w:b/>
          <w:sz w:val="26"/>
        </w:rPr>
        <w:t>4.9  Proactive (Advance) Prediction Protocol</w:t>
      </w:r>
    </w:p>
    <w:p>
      <w:pPr>
        <w:spacing w:line="360" w:lineRule="auto"/>
        <w:jc w:val="both"/>
      </w:pPr>
      <w:r>
        <w:rPr>
          <w:rFonts w:ascii="Times New Roman" w:hAnsi="Times New Roman"/>
          <w:sz w:val="24"/>
        </w:rPr>
        <w:t>The proactive prediction claim — that the system signals drowsiness before it manifests behaviourally — was evaluated on SEED-VIG under LOSO, taking advantage of that dataset's continuous PERCLOS timeline. For each subject, the lean LDA's posterior probability p(drowsy | epoch_t) was smoothed causally with a 30-second moving average (to avoid future-sample leakage) and the EEG onset time t_EEG was defined as the earliest epoch for which the smoothed probability remained above 0.5 for 30 consecutive seconds. The behavioural onset time t_behav was defined analogously: PERCLOS was causally smoothed over 30 seconds and t_behav was the earliest time at which the smoothed PERCLOS remained above 0.70 for 60 consecutive seconds. The per-subject lead time was Δt = t_behav − t_EEG (positive values indicate the EEG preceded the behaviour).</w:t>
      </w:r>
    </w:p>
    <w:p>
      <w:pPr>
        <w:spacing w:line="360" w:lineRule="auto"/>
        <w:jc w:val="both"/>
      </w:pPr>
      <w:r>
        <w:rPr>
          <w:rFonts w:ascii="Times New Roman" w:hAnsi="Times New Roman"/>
          <w:sz w:val="24"/>
        </w:rPr>
        <w:t>Rather than reporting the overall mean — which is sensitive to single-subject outliers and can mask high variance — the headline metrics were (a) the number of subjects with both onsets detectable, (b) the fraction of those subjects for which Δt &gt; 0, (c) the median Δt, and (d) the inter-quartile range of Δt. This reporting scheme is consistent with the broader trend toward effect-size rather than point-estimate reporting in biomedical machine learning.</w:t>
      </w:r>
    </w:p>
    <w:p>
      <w:pPr>
        <w:spacing w:line="360" w:lineRule="auto"/>
        <w:jc w:val="both"/>
      </w:pPr>
      <w:r>
        <w:rPr>
          <w:rFonts w:ascii="Times New Roman" w:hAnsi="Times New Roman"/>
          <w:sz w:val="24"/>
        </w:rPr>
        <w:t>No separate alert tier (yellow/red/critical) was evaluated on DROZY because DROZY's binary session labels do not provide continuous drowsiness dynamics. Chapter 6 discusses how the alert tiers would be calibrated in a production deployment on top of the lean LDA posterior.</w:t>
      </w:r>
    </w:p>
    <w:p>
      <w:pPr>
        <w:pageBreakBefore/>
        <w:spacing w:before="480" w:after="240"/>
        <w:jc w:val="left"/>
      </w:pPr>
      <w:r>
        <w:rPr>
          <w:rFonts w:ascii="Times New Roman" w:hAnsi="Times New Roman"/>
          <w:b/>
          <w:sz w:val="32"/>
        </w:rPr>
        <w:t>CHAPTER 5</w:t>
      </w:r>
    </w:p>
    <w:p>
      <w:pPr>
        <w:spacing w:after="360"/>
        <w:jc w:val="left"/>
      </w:pPr>
      <w:r>
        <w:rPr>
          <w:rFonts w:ascii="Times New Roman" w:hAnsi="Times New Roman"/>
          <w:b/>
          <w:sz w:val="28"/>
        </w:rPr>
        <w:t>RESULTS AND DISCUSSION</w:t>
      </w:r>
    </w:p>
    <w:p>
      <w:pPr>
        <w:spacing w:before="280" w:after="160"/>
        <w:jc w:val="left"/>
      </w:pPr>
      <w:r>
        <w:rPr>
          <w:rFonts w:ascii="Times New Roman" w:hAnsi="Times New Roman"/>
          <w:b/>
          <w:sz w:val="26"/>
        </w:rPr>
        <w:t>5.1  Monitoring Track: Classification Performance (Leave-One-Subject-Out)</w:t>
      </w:r>
    </w:p>
    <w:p>
      <w:pPr>
        <w:spacing w:line="360" w:lineRule="auto"/>
        <w:jc w:val="both"/>
      </w:pPr>
      <w:r>
        <w:rPr>
          <w:rFonts w:ascii="Times New Roman" w:hAnsi="Times New Roman"/>
          <w:sz w:val="24"/>
        </w:rPr>
        <w:t>The results in this chapter are organised along two independent tracks. The first — the monitoring track — measures the instantaneous accuracy with which the pipeline can label each 10-second EEG epoch as awake or drowsy, and culminates in the v17 causal-smoothed operating point. The second — the pro-active track, §5.4 — measures how early the pipeline flags drowsiness relative to a behavioural camera-based reference. The two tracks share a single classifier (shrinkage LDA on the lean 10-feature set) but are evaluated under protocols appropriate to their respective deployment roles.</w:t>
      </w:r>
    </w:p>
    <w:p>
      <w:pPr>
        <w:spacing w:line="360" w:lineRule="auto"/>
        <w:jc w:val="both"/>
      </w:pPr>
      <w:r>
        <w:rPr>
          <w:rFonts w:ascii="Times New Roman" w:hAnsi="Times New Roman"/>
          <w:sz w:val="24"/>
        </w:rPr>
        <w:t>All monitoring-track numbers use strict Leave-One-Subject-Out (LOSO) cross-validation on the DROZY dataset (10 subjects, 14,498 ten-second non-overlapping epochs from O1 and O2 only, ~50/50 class balance by session label). For every fold, nine subjects are used for training and the held-out subject is used for testing; reported numbers are the concatenated predictions across the ten folds, so each subject appears exactly once in a test set and never overlaps with its own training data. Per-subject z-score standardisation is computed from that subject's session-1 (awake) epochs only — equivalent to a 60-second awake calibration at deployment — and is applied to both the subject's train and test epochs without leaking label information. The headline metric for the IEEE submission is weighted F1; accuracy, AUC-ROC, and Cohen's κ are reported alongside.</w:t>
      </w:r>
    </w:p>
    <w:p>
      <w:pPr>
        <w:spacing w:line="360" w:lineRule="auto"/>
        <w:jc w:val="both"/>
      </w:pPr>
      <w:r>
        <w:rPr>
          <w:rFonts w:ascii="Times New Roman" w:hAnsi="Times New Roman"/>
          <w:sz w:val="24"/>
        </w:rPr>
        <w:t>Table 5.1 reports the full pipeline progression, from the original hand-crafted 30-feature set through Riemannian geometry, nested-CV tuning, calibration-window optimisation, extended feature engineering, the feature-family ablation, an end-to-end EEGNet baseline, and — crucially — the v17 causal exponential moving-average (EMA) smoother that converts per-epoch posteriors into a temporally-coherent session-level estimator. The per-epoch best is v11 lean LDA (F1 = 62.08). The deployable best is v17 (lean LDA posteriors → causal EMA, τ = 600 s, continuous per-subject, no label-driven resets), which lifts LOSO F1 to 76.79 with Cohen's κ = 0.539 and AUC = 76.62. Smoothing is strictly causal (no future samples ever enter the estimate) and respects subject boundaries.</w:t>
      </w:r>
    </w:p>
    <w:p>
      <w:pPr>
        <w:spacing w:before="240"/>
        <w:jc w:val="center"/>
      </w:pPr>
      <w:r>
        <w:rPr>
          <w:rFonts w:ascii="Times New Roman" w:hAnsi="Times New Roman"/>
          <w:b/>
          <w:sz w:val="20"/>
        </w:rPr>
        <w:t>Table 5.1: LOSO monitoring performance of every evaluated pipeline on DROZY (O1/O2, 10 subjects, 14,498 epochs). v17 is the published monitoring headline.</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800"/>
          </w:tcPr>
          <w:p>
            <w:pPr>
              <w:jc w:val="center"/>
            </w:pPr>
            <w:r>
              <w:rPr>
                <w:rFonts w:ascii="Times New Roman" w:hAnsi="Times New Roman"/>
                <w:b/>
                <w:sz w:val="20"/>
              </w:rPr>
              <w:t>Pipeline</w:t>
            </w:r>
          </w:p>
        </w:tc>
        <w:tc>
          <w:tcPr>
            <w:tcW w:type="dxa" w:w="1800"/>
          </w:tcPr>
          <w:p>
            <w:pPr>
              <w:jc w:val="center"/>
            </w:pPr>
            <w:r>
              <w:rPr>
                <w:rFonts w:ascii="Times New Roman" w:hAnsi="Times New Roman"/>
                <w:b/>
                <w:sz w:val="20"/>
              </w:rPr>
              <w:t>Acc (%)</w:t>
            </w:r>
          </w:p>
        </w:tc>
        <w:tc>
          <w:tcPr>
            <w:tcW w:type="dxa" w:w="1800"/>
          </w:tcPr>
          <w:p>
            <w:pPr>
              <w:jc w:val="center"/>
            </w:pPr>
            <w:r>
              <w:rPr>
                <w:rFonts w:ascii="Times New Roman" w:hAnsi="Times New Roman"/>
                <w:b/>
                <w:sz w:val="20"/>
              </w:rPr>
              <w:t>F1 (%)</w:t>
            </w:r>
          </w:p>
        </w:tc>
        <w:tc>
          <w:tcPr>
            <w:tcW w:type="dxa" w:w="1800"/>
          </w:tcPr>
          <w:p>
            <w:pPr>
              <w:jc w:val="center"/>
            </w:pPr>
            <w:r>
              <w:rPr>
                <w:rFonts w:ascii="Times New Roman" w:hAnsi="Times New Roman"/>
                <w:b/>
                <w:sz w:val="20"/>
              </w:rPr>
              <w:t>AUC (%)</w:t>
            </w:r>
          </w:p>
        </w:tc>
        <w:tc>
          <w:tcPr>
            <w:tcW w:type="dxa" w:w="1800"/>
          </w:tcPr>
          <w:p>
            <w:pPr>
              <w:jc w:val="center"/>
            </w:pPr>
            <w:r>
              <w:rPr>
                <w:rFonts w:ascii="Times New Roman" w:hAnsi="Times New Roman"/>
                <w:b/>
                <w:sz w:val="20"/>
              </w:rPr>
              <w:t>κ</w:t>
            </w:r>
          </w:p>
        </w:tc>
      </w:tr>
      <w:tr>
        <w:tc>
          <w:tcPr>
            <w:tcW w:type="dxa" w:w="1800"/>
          </w:tcPr>
          <w:p>
            <w:pPr>
              <w:jc w:val="center"/>
            </w:pPr>
            <w:r>
              <w:rPr>
                <w:rFonts w:ascii="Times New Roman" w:hAnsi="Times New Roman"/>
                <w:sz w:val="20"/>
              </w:rPr>
              <w:t>v3  Gradient Boosting, 30 BASE features</w:t>
            </w:r>
          </w:p>
        </w:tc>
        <w:tc>
          <w:tcPr>
            <w:tcW w:type="dxa" w:w="1800"/>
          </w:tcPr>
          <w:p>
            <w:pPr>
              <w:jc w:val="center"/>
            </w:pPr>
            <w:r>
              <w:rPr>
                <w:rFonts w:ascii="Times New Roman" w:hAnsi="Times New Roman"/>
                <w:sz w:val="20"/>
              </w:rPr>
              <w:t>51.45</w:t>
            </w:r>
          </w:p>
        </w:tc>
        <w:tc>
          <w:tcPr>
            <w:tcW w:type="dxa" w:w="1800"/>
          </w:tcPr>
          <w:p>
            <w:pPr>
              <w:jc w:val="center"/>
            </w:pPr>
            <w:r>
              <w:rPr>
                <w:rFonts w:ascii="Times New Roman" w:hAnsi="Times New Roman"/>
                <w:sz w:val="20"/>
              </w:rPr>
              <w:t>51.42</w:t>
            </w:r>
          </w:p>
        </w:tc>
        <w:tc>
          <w:tcPr>
            <w:tcW w:type="dxa" w:w="1800"/>
          </w:tcPr>
          <w:p>
            <w:pPr>
              <w:jc w:val="center"/>
            </w:pPr>
            <w:r>
              <w:rPr>
                <w:rFonts w:ascii="Times New Roman" w:hAnsi="Times New Roman"/>
                <w:sz w:val="20"/>
              </w:rPr>
              <w:t>52.05</w:t>
            </w:r>
          </w:p>
        </w:tc>
        <w:tc>
          <w:tcPr>
            <w:tcW w:type="dxa" w:w="1800"/>
          </w:tcPr>
          <w:p>
            <w:pPr>
              <w:jc w:val="center"/>
            </w:pPr>
            <w:r>
              <w:rPr>
                <w:rFonts w:ascii="Times New Roman" w:hAnsi="Times New Roman"/>
                <w:sz w:val="20"/>
              </w:rPr>
              <w:t>0.029</w:t>
            </w:r>
          </w:p>
        </w:tc>
      </w:tr>
      <w:tr>
        <w:tc>
          <w:tcPr>
            <w:tcW w:type="dxa" w:w="1800"/>
          </w:tcPr>
          <w:p>
            <w:pPr>
              <w:jc w:val="center"/>
            </w:pPr>
            <w:r>
              <w:rPr>
                <w:rFonts w:ascii="Times New Roman" w:hAnsi="Times New Roman"/>
                <w:sz w:val="20"/>
              </w:rPr>
              <w:t>v3  Random Forest, 30 BASE features</w:t>
            </w:r>
          </w:p>
        </w:tc>
        <w:tc>
          <w:tcPr>
            <w:tcW w:type="dxa" w:w="1800"/>
          </w:tcPr>
          <w:p>
            <w:pPr>
              <w:jc w:val="center"/>
            </w:pPr>
            <w:r>
              <w:rPr>
                <w:rFonts w:ascii="Times New Roman" w:hAnsi="Times New Roman"/>
                <w:sz w:val="20"/>
              </w:rPr>
              <w:t>50.76</w:t>
            </w:r>
          </w:p>
        </w:tc>
        <w:tc>
          <w:tcPr>
            <w:tcW w:type="dxa" w:w="1800"/>
          </w:tcPr>
          <w:p>
            <w:pPr>
              <w:jc w:val="center"/>
            </w:pPr>
            <w:r>
              <w:rPr>
                <w:rFonts w:ascii="Times New Roman" w:hAnsi="Times New Roman"/>
                <w:sz w:val="20"/>
              </w:rPr>
              <w:t>50.77</w:t>
            </w:r>
          </w:p>
        </w:tc>
        <w:tc>
          <w:tcPr>
            <w:tcW w:type="dxa" w:w="1800"/>
          </w:tcPr>
          <w:p>
            <w:pPr>
              <w:jc w:val="center"/>
            </w:pPr>
            <w:r>
              <w:rPr>
                <w:rFonts w:ascii="Times New Roman" w:hAnsi="Times New Roman"/>
                <w:sz w:val="20"/>
              </w:rPr>
              <w:t>51.68</w:t>
            </w:r>
          </w:p>
        </w:tc>
        <w:tc>
          <w:tcPr>
            <w:tcW w:type="dxa" w:w="1800"/>
          </w:tcPr>
          <w:p>
            <w:pPr>
              <w:jc w:val="center"/>
            </w:pPr>
            <w:r>
              <w:rPr>
                <w:rFonts w:ascii="Times New Roman" w:hAnsi="Times New Roman"/>
                <w:sz w:val="20"/>
              </w:rPr>
              <w:t>0.015</w:t>
            </w:r>
          </w:p>
        </w:tc>
      </w:tr>
      <w:tr>
        <w:tc>
          <w:tcPr>
            <w:tcW w:type="dxa" w:w="1800"/>
          </w:tcPr>
          <w:p>
            <w:pPr>
              <w:jc w:val="center"/>
            </w:pPr>
            <w:r>
              <w:rPr>
                <w:rFonts w:ascii="Times New Roman" w:hAnsi="Times New Roman"/>
                <w:sz w:val="20"/>
              </w:rPr>
              <w:t>v4  LDA, subject_both z-score</w:t>
            </w:r>
          </w:p>
        </w:tc>
        <w:tc>
          <w:tcPr>
            <w:tcW w:type="dxa" w:w="1800"/>
          </w:tcPr>
          <w:p>
            <w:pPr>
              <w:jc w:val="center"/>
            </w:pPr>
            <w:r>
              <w:rPr>
                <w:rFonts w:ascii="Times New Roman" w:hAnsi="Times New Roman"/>
                <w:sz w:val="20"/>
              </w:rPr>
              <w:t>53.68</w:t>
            </w:r>
          </w:p>
        </w:tc>
        <w:tc>
          <w:tcPr>
            <w:tcW w:type="dxa" w:w="1800"/>
          </w:tcPr>
          <w:p>
            <w:pPr>
              <w:jc w:val="center"/>
            </w:pPr>
            <w:r>
              <w:rPr>
                <w:rFonts w:ascii="Times New Roman" w:hAnsi="Times New Roman"/>
                <w:sz w:val="20"/>
              </w:rPr>
              <w:t>53.68</w:t>
            </w:r>
          </w:p>
        </w:tc>
        <w:tc>
          <w:tcPr>
            <w:tcW w:type="dxa" w:w="1800"/>
          </w:tcPr>
          <w:p>
            <w:pPr>
              <w:jc w:val="center"/>
            </w:pPr>
            <w:r>
              <w:rPr>
                <w:rFonts w:ascii="Times New Roman" w:hAnsi="Times New Roman"/>
                <w:sz w:val="20"/>
              </w:rPr>
              <w:t>55.50</w:t>
            </w:r>
          </w:p>
        </w:tc>
        <w:tc>
          <w:tcPr>
            <w:tcW w:type="dxa" w:w="1800"/>
          </w:tcPr>
          <w:p>
            <w:pPr>
              <w:jc w:val="center"/>
            </w:pPr>
            <w:r>
              <w:rPr>
                <w:rFonts w:ascii="Times New Roman" w:hAnsi="Times New Roman"/>
                <w:sz w:val="20"/>
              </w:rPr>
              <w:t>0.074</w:t>
            </w:r>
          </w:p>
        </w:tc>
      </w:tr>
      <w:tr>
        <w:tc>
          <w:tcPr>
            <w:tcW w:type="dxa" w:w="1800"/>
          </w:tcPr>
          <w:p>
            <w:pPr>
              <w:jc w:val="center"/>
            </w:pPr>
            <w:r>
              <w:rPr>
                <w:rFonts w:ascii="Times New Roman" w:hAnsi="Times New Roman"/>
                <w:sz w:val="20"/>
              </w:rPr>
              <w:t>v5  LDA, subject_awake z-score</w:t>
            </w:r>
          </w:p>
        </w:tc>
        <w:tc>
          <w:tcPr>
            <w:tcW w:type="dxa" w:w="1800"/>
          </w:tcPr>
          <w:p>
            <w:pPr>
              <w:jc w:val="center"/>
            </w:pPr>
            <w:r>
              <w:rPr>
                <w:rFonts w:ascii="Times New Roman" w:hAnsi="Times New Roman"/>
                <w:sz w:val="20"/>
              </w:rPr>
              <w:t>53.88</w:t>
            </w:r>
          </w:p>
        </w:tc>
        <w:tc>
          <w:tcPr>
            <w:tcW w:type="dxa" w:w="1800"/>
          </w:tcPr>
          <w:p>
            <w:pPr>
              <w:jc w:val="center"/>
            </w:pPr>
            <w:r>
              <w:rPr>
                <w:rFonts w:ascii="Times New Roman" w:hAnsi="Times New Roman"/>
                <w:sz w:val="20"/>
              </w:rPr>
              <w:t>53.27</w:t>
            </w:r>
          </w:p>
        </w:tc>
        <w:tc>
          <w:tcPr>
            <w:tcW w:type="dxa" w:w="1800"/>
          </w:tcPr>
          <w:p>
            <w:pPr>
              <w:jc w:val="center"/>
            </w:pPr>
            <w:r>
              <w:rPr>
                <w:rFonts w:ascii="Times New Roman" w:hAnsi="Times New Roman"/>
                <w:sz w:val="20"/>
              </w:rPr>
              <w:t>55.11</w:t>
            </w:r>
          </w:p>
        </w:tc>
        <w:tc>
          <w:tcPr>
            <w:tcW w:type="dxa" w:w="1800"/>
          </w:tcPr>
          <w:p>
            <w:pPr>
              <w:jc w:val="center"/>
            </w:pPr>
            <w:r>
              <w:rPr>
                <w:rFonts w:ascii="Times New Roman" w:hAnsi="Times New Roman"/>
                <w:sz w:val="20"/>
              </w:rPr>
              <w:t>0.078</w:t>
            </w:r>
          </w:p>
        </w:tc>
      </w:tr>
      <w:tr>
        <w:tc>
          <w:tcPr>
            <w:tcW w:type="dxa" w:w="1800"/>
          </w:tcPr>
          <w:p>
            <w:pPr>
              <w:jc w:val="center"/>
            </w:pPr>
            <w:r>
              <w:rPr>
                <w:rFonts w:ascii="Times New Roman" w:hAnsi="Times New Roman"/>
                <w:sz w:val="20"/>
              </w:rPr>
              <w:t>v6  Riemannian TS + LogReg (untuned)</w:t>
            </w:r>
          </w:p>
        </w:tc>
        <w:tc>
          <w:tcPr>
            <w:tcW w:type="dxa" w:w="1800"/>
          </w:tcPr>
          <w:p>
            <w:pPr>
              <w:jc w:val="center"/>
            </w:pPr>
            <w:r>
              <w:rPr>
                <w:rFonts w:ascii="Times New Roman" w:hAnsi="Times New Roman"/>
                <w:sz w:val="20"/>
              </w:rPr>
              <w:t>57.20</w:t>
            </w:r>
          </w:p>
        </w:tc>
        <w:tc>
          <w:tcPr>
            <w:tcW w:type="dxa" w:w="1800"/>
          </w:tcPr>
          <w:p>
            <w:pPr>
              <w:jc w:val="center"/>
            </w:pPr>
            <w:r>
              <w:rPr>
                <w:rFonts w:ascii="Times New Roman" w:hAnsi="Times New Roman"/>
                <w:sz w:val="20"/>
              </w:rPr>
              <w:t>57.12</w:t>
            </w:r>
          </w:p>
        </w:tc>
        <w:tc>
          <w:tcPr>
            <w:tcW w:type="dxa" w:w="1800"/>
          </w:tcPr>
          <w:p>
            <w:pPr>
              <w:jc w:val="center"/>
            </w:pPr>
            <w:r>
              <w:rPr>
                <w:rFonts w:ascii="Times New Roman" w:hAnsi="Times New Roman"/>
                <w:sz w:val="20"/>
              </w:rPr>
              <w:t>57.14</w:t>
            </w:r>
          </w:p>
        </w:tc>
        <w:tc>
          <w:tcPr>
            <w:tcW w:type="dxa" w:w="1800"/>
          </w:tcPr>
          <w:p>
            <w:pPr>
              <w:jc w:val="center"/>
            </w:pPr>
            <w:r>
              <w:rPr>
                <w:rFonts w:ascii="Times New Roman" w:hAnsi="Times New Roman"/>
                <w:sz w:val="20"/>
              </w:rPr>
              <w:t>0.144</w:t>
            </w:r>
          </w:p>
        </w:tc>
      </w:tr>
      <w:tr>
        <w:tc>
          <w:tcPr>
            <w:tcW w:type="dxa" w:w="1800"/>
          </w:tcPr>
          <w:p>
            <w:pPr>
              <w:jc w:val="center"/>
            </w:pPr>
            <w:r>
              <w:rPr>
                <w:rFonts w:ascii="Times New Roman" w:hAnsi="Times New Roman"/>
                <w:sz w:val="20"/>
              </w:rPr>
              <w:t>v7  Riemannian TS + LDA (nested-CV tuned)</w:t>
            </w:r>
          </w:p>
        </w:tc>
        <w:tc>
          <w:tcPr>
            <w:tcW w:type="dxa" w:w="1800"/>
          </w:tcPr>
          <w:p>
            <w:pPr>
              <w:jc w:val="center"/>
            </w:pPr>
            <w:r>
              <w:rPr>
                <w:rFonts w:ascii="Times New Roman" w:hAnsi="Times New Roman"/>
                <w:sz w:val="20"/>
              </w:rPr>
              <w:t>57.72</w:t>
            </w:r>
          </w:p>
        </w:tc>
        <w:tc>
          <w:tcPr>
            <w:tcW w:type="dxa" w:w="1800"/>
          </w:tcPr>
          <w:p>
            <w:pPr>
              <w:jc w:val="center"/>
            </w:pPr>
            <w:r>
              <w:rPr>
                <w:rFonts w:ascii="Times New Roman" w:hAnsi="Times New Roman"/>
                <w:sz w:val="20"/>
              </w:rPr>
              <w:t>57.69</w:t>
            </w:r>
          </w:p>
        </w:tc>
        <w:tc>
          <w:tcPr>
            <w:tcW w:type="dxa" w:w="1800"/>
          </w:tcPr>
          <w:p>
            <w:pPr>
              <w:jc w:val="center"/>
            </w:pPr>
            <w:r>
              <w:rPr>
                <w:rFonts w:ascii="Times New Roman" w:hAnsi="Times New Roman"/>
                <w:sz w:val="20"/>
              </w:rPr>
              <w:t>58.00</w:t>
            </w:r>
          </w:p>
        </w:tc>
        <w:tc>
          <w:tcPr>
            <w:tcW w:type="dxa" w:w="1800"/>
          </w:tcPr>
          <w:p>
            <w:pPr>
              <w:jc w:val="center"/>
            </w:pPr>
            <w:r>
              <w:rPr>
                <w:rFonts w:ascii="Times New Roman" w:hAnsi="Times New Roman"/>
                <w:sz w:val="20"/>
              </w:rPr>
              <w:t>0.154</w:t>
            </w:r>
          </w:p>
        </w:tc>
      </w:tr>
      <w:tr>
        <w:tc>
          <w:tcPr>
            <w:tcW w:type="dxa" w:w="1800"/>
          </w:tcPr>
          <w:p>
            <w:pPr>
              <w:jc w:val="center"/>
            </w:pPr>
            <w:r>
              <w:rPr>
                <w:rFonts w:ascii="Times New Roman" w:hAnsi="Times New Roman"/>
                <w:sz w:val="20"/>
              </w:rPr>
              <w:t>v8  LDA, 60-s awake calibration window</w:t>
            </w:r>
          </w:p>
        </w:tc>
        <w:tc>
          <w:tcPr>
            <w:tcW w:type="dxa" w:w="1800"/>
          </w:tcPr>
          <w:p>
            <w:pPr>
              <w:jc w:val="center"/>
            </w:pPr>
            <w:r>
              <w:rPr>
                <w:rFonts w:ascii="Times New Roman" w:hAnsi="Times New Roman"/>
                <w:sz w:val="20"/>
              </w:rPr>
              <w:t>54.83</w:t>
            </w:r>
          </w:p>
        </w:tc>
        <w:tc>
          <w:tcPr>
            <w:tcW w:type="dxa" w:w="1800"/>
          </w:tcPr>
          <w:p>
            <w:pPr>
              <w:jc w:val="center"/>
            </w:pPr>
            <w:r>
              <w:rPr>
                <w:rFonts w:ascii="Times New Roman" w:hAnsi="Times New Roman"/>
                <w:sz w:val="20"/>
              </w:rPr>
              <w:t>54.32</w:t>
            </w:r>
          </w:p>
        </w:tc>
        <w:tc>
          <w:tcPr>
            <w:tcW w:type="dxa" w:w="1800"/>
          </w:tcPr>
          <w:p>
            <w:pPr>
              <w:jc w:val="center"/>
            </w:pPr>
            <w:r>
              <w:rPr>
                <w:rFonts w:ascii="Times New Roman" w:hAnsi="Times New Roman"/>
                <w:sz w:val="20"/>
              </w:rPr>
              <w:t>56.08</w:t>
            </w:r>
          </w:p>
        </w:tc>
        <w:tc>
          <w:tcPr>
            <w:tcW w:type="dxa" w:w="1800"/>
          </w:tcPr>
          <w:p>
            <w:pPr>
              <w:jc w:val="center"/>
            </w:pPr>
            <w:r>
              <w:rPr>
                <w:rFonts w:ascii="Times New Roman" w:hAnsi="Times New Roman"/>
                <w:sz w:val="20"/>
              </w:rPr>
              <w:t>0.098</w:t>
            </w:r>
          </w:p>
        </w:tc>
      </w:tr>
      <w:tr>
        <w:tc>
          <w:tcPr>
            <w:tcW w:type="dxa" w:w="1800"/>
          </w:tcPr>
          <w:p>
            <w:pPr>
              <w:jc w:val="center"/>
            </w:pPr>
            <w:r>
              <w:rPr>
                <w:rFonts w:ascii="Times New Roman" w:hAnsi="Times New Roman"/>
                <w:sz w:val="20"/>
              </w:rPr>
              <w:t>v9  LDA, 50 extended features</w:t>
            </w:r>
          </w:p>
        </w:tc>
        <w:tc>
          <w:tcPr>
            <w:tcW w:type="dxa" w:w="1800"/>
          </w:tcPr>
          <w:p>
            <w:pPr>
              <w:jc w:val="center"/>
            </w:pPr>
            <w:r>
              <w:rPr>
                <w:rFonts w:ascii="Times New Roman" w:hAnsi="Times New Roman"/>
                <w:sz w:val="20"/>
              </w:rPr>
              <w:t>61.35</w:t>
            </w:r>
          </w:p>
        </w:tc>
        <w:tc>
          <w:tcPr>
            <w:tcW w:type="dxa" w:w="1800"/>
          </w:tcPr>
          <w:p>
            <w:pPr>
              <w:jc w:val="center"/>
            </w:pPr>
            <w:r>
              <w:rPr>
                <w:rFonts w:ascii="Times New Roman" w:hAnsi="Times New Roman"/>
                <w:sz w:val="20"/>
              </w:rPr>
              <w:t>61.13</w:t>
            </w:r>
          </w:p>
        </w:tc>
        <w:tc>
          <w:tcPr>
            <w:tcW w:type="dxa" w:w="1800"/>
          </w:tcPr>
          <w:p>
            <w:pPr>
              <w:jc w:val="center"/>
            </w:pPr>
            <w:r>
              <w:rPr>
                <w:rFonts w:ascii="Times New Roman" w:hAnsi="Times New Roman"/>
                <w:sz w:val="20"/>
              </w:rPr>
              <w:t>63.71</w:t>
            </w:r>
          </w:p>
        </w:tc>
        <w:tc>
          <w:tcPr>
            <w:tcW w:type="dxa" w:w="1800"/>
          </w:tcPr>
          <w:p>
            <w:pPr>
              <w:jc w:val="center"/>
            </w:pPr>
            <w:r>
              <w:rPr>
                <w:rFonts w:ascii="Times New Roman" w:hAnsi="Times New Roman"/>
                <w:sz w:val="20"/>
              </w:rPr>
              <w:t>0.227</w:t>
            </w:r>
          </w:p>
        </w:tc>
      </w:tr>
      <w:tr>
        <w:tc>
          <w:tcPr>
            <w:tcW w:type="dxa" w:w="1800"/>
          </w:tcPr>
          <w:p>
            <w:pPr>
              <w:jc w:val="center"/>
            </w:pPr>
            <w:r>
              <w:rPr>
                <w:rFonts w:ascii="Times New Roman" w:hAnsi="Times New Roman"/>
                <w:sz w:val="20"/>
              </w:rPr>
              <w:t>v11 LDA, 10-feature lean set (ENT+SLOPE+COH)</w:t>
            </w:r>
          </w:p>
        </w:tc>
        <w:tc>
          <w:tcPr>
            <w:tcW w:type="dxa" w:w="1800"/>
          </w:tcPr>
          <w:p>
            <w:pPr>
              <w:jc w:val="center"/>
            </w:pPr>
            <w:r>
              <w:rPr>
                <w:rFonts w:ascii="Times New Roman" w:hAnsi="Times New Roman"/>
                <w:sz w:val="20"/>
              </w:rPr>
              <w:t>62.10</w:t>
            </w:r>
          </w:p>
        </w:tc>
        <w:tc>
          <w:tcPr>
            <w:tcW w:type="dxa" w:w="1800"/>
          </w:tcPr>
          <w:p>
            <w:pPr>
              <w:jc w:val="center"/>
            </w:pPr>
            <w:r>
              <w:rPr>
                <w:rFonts w:ascii="Times New Roman" w:hAnsi="Times New Roman"/>
                <w:sz w:val="20"/>
              </w:rPr>
              <w:t>62.08</w:t>
            </w:r>
          </w:p>
        </w:tc>
        <w:tc>
          <w:tcPr>
            <w:tcW w:type="dxa" w:w="1800"/>
          </w:tcPr>
          <w:p>
            <w:pPr>
              <w:jc w:val="center"/>
            </w:pPr>
            <w:r>
              <w:rPr>
                <w:rFonts w:ascii="Times New Roman" w:hAnsi="Times New Roman"/>
                <w:sz w:val="20"/>
              </w:rPr>
              <w:t>64.55</w:t>
            </w:r>
          </w:p>
        </w:tc>
        <w:tc>
          <w:tcPr>
            <w:tcW w:type="dxa" w:w="1800"/>
          </w:tcPr>
          <w:p>
            <w:pPr>
              <w:jc w:val="center"/>
            </w:pPr>
            <w:r>
              <w:rPr>
                <w:rFonts w:ascii="Times New Roman" w:hAnsi="Times New Roman"/>
                <w:sz w:val="20"/>
              </w:rPr>
              <w:t>0.242</w:t>
            </w:r>
          </w:p>
        </w:tc>
      </w:tr>
      <w:tr>
        <w:tc>
          <w:tcPr>
            <w:tcW w:type="dxa" w:w="1800"/>
          </w:tcPr>
          <w:p>
            <w:pPr>
              <w:jc w:val="center"/>
            </w:pPr>
            <w:r>
              <w:rPr>
                <w:rFonts w:ascii="Times New Roman" w:hAnsi="Times New Roman"/>
                <w:sz w:val="20"/>
              </w:rPr>
              <w:t>v14 EEGNet (Lawhern 2018), raw O1/O2</w:t>
            </w:r>
          </w:p>
        </w:tc>
        <w:tc>
          <w:tcPr>
            <w:tcW w:type="dxa" w:w="1800"/>
          </w:tcPr>
          <w:p>
            <w:pPr>
              <w:jc w:val="center"/>
            </w:pPr>
            <w:r>
              <w:rPr>
                <w:rFonts w:ascii="Times New Roman" w:hAnsi="Times New Roman"/>
                <w:sz w:val="20"/>
              </w:rPr>
              <w:t>52.41</w:t>
            </w:r>
          </w:p>
        </w:tc>
        <w:tc>
          <w:tcPr>
            <w:tcW w:type="dxa" w:w="1800"/>
          </w:tcPr>
          <w:p>
            <w:pPr>
              <w:jc w:val="center"/>
            </w:pPr>
            <w:r>
              <w:rPr>
                <w:rFonts w:ascii="Times New Roman" w:hAnsi="Times New Roman"/>
                <w:sz w:val="20"/>
              </w:rPr>
              <w:t>47.32</w:t>
            </w:r>
          </w:p>
        </w:tc>
        <w:tc>
          <w:tcPr>
            <w:tcW w:type="dxa" w:w="1800"/>
          </w:tcPr>
          <w:p>
            <w:pPr>
              <w:jc w:val="center"/>
            </w:pPr>
            <w:r>
              <w:rPr>
                <w:rFonts w:ascii="Times New Roman" w:hAnsi="Times New Roman"/>
                <w:sz w:val="20"/>
              </w:rPr>
              <w:t>53.82</w:t>
            </w:r>
          </w:p>
        </w:tc>
        <w:tc>
          <w:tcPr>
            <w:tcW w:type="dxa" w:w="1800"/>
          </w:tcPr>
          <w:p>
            <w:pPr>
              <w:jc w:val="center"/>
            </w:pPr>
            <w:r>
              <w:rPr>
                <w:rFonts w:ascii="Times New Roman" w:hAnsi="Times New Roman"/>
                <w:sz w:val="20"/>
              </w:rPr>
              <w:t>0.050</w:t>
            </w:r>
          </w:p>
        </w:tc>
      </w:tr>
      <w:tr>
        <w:tc>
          <w:tcPr>
            <w:tcW w:type="dxa" w:w="1800"/>
          </w:tcPr>
          <w:p>
            <w:pPr>
              <w:jc w:val="center"/>
            </w:pPr>
            <w:r>
              <w:rPr>
                <w:rFonts w:ascii="Times New Roman" w:hAnsi="Times New Roman"/>
                <w:sz w:val="20"/>
              </w:rPr>
              <w:t>v17 v11 lean + causal EMA smoother (τ=600 s)  ← best</w:t>
            </w:r>
          </w:p>
        </w:tc>
        <w:tc>
          <w:tcPr>
            <w:tcW w:type="dxa" w:w="1800"/>
          </w:tcPr>
          <w:p>
            <w:pPr>
              <w:jc w:val="center"/>
            </w:pPr>
            <w:r>
              <w:rPr>
                <w:rFonts w:ascii="Times New Roman" w:hAnsi="Times New Roman"/>
                <w:sz w:val="20"/>
              </w:rPr>
              <w:t>76.92</w:t>
            </w:r>
          </w:p>
        </w:tc>
        <w:tc>
          <w:tcPr>
            <w:tcW w:type="dxa" w:w="1800"/>
          </w:tcPr>
          <w:p>
            <w:pPr>
              <w:jc w:val="center"/>
            </w:pPr>
            <w:r>
              <w:rPr>
                <w:rFonts w:ascii="Times New Roman" w:hAnsi="Times New Roman"/>
                <w:sz w:val="20"/>
              </w:rPr>
              <w:t>76.79</w:t>
            </w:r>
          </w:p>
        </w:tc>
        <w:tc>
          <w:tcPr>
            <w:tcW w:type="dxa" w:w="1800"/>
          </w:tcPr>
          <w:p>
            <w:pPr>
              <w:jc w:val="center"/>
            </w:pPr>
            <w:r>
              <w:rPr>
                <w:rFonts w:ascii="Times New Roman" w:hAnsi="Times New Roman"/>
                <w:sz w:val="20"/>
              </w:rPr>
              <w:t>76.62</w:t>
            </w:r>
          </w:p>
        </w:tc>
        <w:tc>
          <w:tcPr>
            <w:tcW w:type="dxa" w:w="1800"/>
          </w:tcPr>
          <w:p>
            <w:pPr>
              <w:jc w:val="center"/>
            </w:pPr>
            <w:r>
              <w:rPr>
                <w:rFonts w:ascii="Times New Roman" w:hAnsi="Times New Roman"/>
                <w:sz w:val="20"/>
              </w:rPr>
              <w:t>0.539</w:t>
            </w:r>
          </w:p>
        </w:tc>
      </w:tr>
    </w:tbl>
    <w:p/>
    <w:p>
      <w:pPr>
        <w:spacing w:line="360" w:lineRule="auto"/>
        <w:jc w:val="both"/>
      </w:pPr>
      <w:r>
        <w:rPr>
          <w:rFonts w:ascii="Times New Roman" w:hAnsi="Times New Roman"/>
          <w:sz w:val="24"/>
        </w:rPr>
        <w:t>Three observations drive the narrative. First, the best per-epoch hand-crafted pipeline (v11, 10 features, LDA) outperforms a full EEGNet baseline trained end-to-end on raw O1/O2 windows by 14.76 F1 points, confirming that at the 2-channel scale classical features already encode the dominant drowsiness signal. Second, Riemannian tangent-space decoding (v7) — the current state-of-the-art in EEG-BCI — is 4.4 F1 points below the lean feature set; with only a 2×2 covariance there is little room for SPD-manifold geometry to add beyond what coherence already provides. Third, the causal EMA smoother (v17) delivers the largest single improvement in the table (+14.71 F1 over v11), which is consistent with the physiological time-scale of drowsiness onset: drowsy states evolve over minutes, not epochs, so a classifier that accumulates evidence across a ~10-minute window integrates out per-epoch stochasticity without leaking label information.</w:t>
      </w:r>
    </w:p>
    <w:p>
      <w:pPr>
        <w:spacing w:before="120"/>
        <w:jc w:val="center"/>
      </w:pPr>
      <w:r>
        <w:rPr>
          <w:i/>
          <w:color w:val="808080"/>
          <w:sz w:val="22"/>
        </w:rPr>
        <w:br/>
        <w:t>[SCREENSHOT PLACEHOLDER: Figure 5.1 — Pipeline LOSO F1 progression (v14 EEGNet → v3 baselines → v11 lean → v17 smoothed).]</w:t>
        <w:br/>
      </w:r>
    </w:p>
    <w:p>
      <w:pPr>
        <w:spacing w:after="240"/>
        <w:jc w:val="center"/>
      </w:pPr>
      <w:r>
        <w:rPr>
          <w:b/>
          <w:sz w:val="20"/>
        </w:rPr>
        <w:t>Figure 5.1: LOSO F1 across all evaluated pipelines; v17 lean + EMA smoother is the published monitoring headline.</w:t>
      </w:r>
    </w:p>
    <w:p>
      <w:pPr>
        <w:spacing w:before="200" w:after="120"/>
        <w:jc w:val="left"/>
      </w:pPr>
      <w:r>
        <w:rPr>
          <w:rFonts w:ascii="Times New Roman" w:hAnsi="Times New Roman"/>
          <w:b/>
          <w:sz w:val="24"/>
        </w:rPr>
        <w:t>5.1.1  Feature-Family Ablation</w:t>
      </w:r>
    </w:p>
    <w:p>
      <w:pPr>
        <w:spacing w:line="360" w:lineRule="auto"/>
        <w:jc w:val="both"/>
      </w:pPr>
      <w:r>
        <w:rPr>
          <w:rFonts w:ascii="Times New Roman" w:hAnsi="Times New Roman"/>
          <w:sz w:val="24"/>
        </w:rPr>
        <w:t>To identify which feature family drives the improvement from the 30-feature baseline to the 50-feature extended set, a LOSO ablation was run in which each family was included or excluded in isolation. Results are summarised in Table 5.2. The pattern is unambiguous: dropping the O1–O2 coherence family collapses performance from F1 = 61.13 (ALL 50) to F1 = 54.31, returning the pipeline to v8-calibration territory, whereas dropping DWT energies, entropies, or the 1/f slope individually costs ≤ 0.2 F1. Retaining only the 10 ENT+SLOPE+COH features actually surpasses the full 50-feature set (F1 = 62.08 vs 61.13), indicating that the 30 BASE band-power/Hjorth/asymmetry features and the 10 DWT energies are redundant once coherence is present.</w:t>
      </w:r>
    </w:p>
    <w:p>
      <w:pPr>
        <w:spacing w:before="240"/>
        <w:jc w:val="center"/>
      </w:pPr>
      <w:r>
        <w:rPr>
          <w:rFonts w:ascii="Times New Roman" w:hAnsi="Times New Roman"/>
          <w:b/>
          <w:sz w:val="20"/>
        </w:rPr>
        <w:t>Table 5.2: Feature-family ablation under LOSO; coherence is the single load-bearing family.</w:t>
      </w:r>
    </w:p>
    <w:tbl>
      <w:tblPr>
        <w:tblStyle w:val="TableGrid"/>
        <w:tblW w:type="auto" w:w="0"/>
        <w:jc w:val="center"/>
        <w:tblLook w:firstColumn="1" w:firstRow="1" w:lastColumn="0" w:lastRow="0" w:noHBand="0" w:noVBand="1" w:val="04A0"/>
      </w:tblPr>
      <w:tblGrid>
        <w:gridCol w:w="3000"/>
        <w:gridCol w:w="3000"/>
        <w:gridCol w:w="3000"/>
      </w:tblGrid>
      <w:tr>
        <w:tc>
          <w:tcPr>
            <w:tcW w:type="dxa" w:w="3000"/>
          </w:tcPr>
          <w:p>
            <w:pPr>
              <w:jc w:val="center"/>
            </w:pPr>
            <w:r>
              <w:rPr>
                <w:rFonts w:ascii="Times New Roman" w:hAnsi="Times New Roman"/>
                <w:b/>
                <w:sz w:val="20"/>
              </w:rPr>
              <w:t>Ablation subset (no. features)</w:t>
            </w:r>
          </w:p>
        </w:tc>
        <w:tc>
          <w:tcPr>
            <w:tcW w:type="dxa" w:w="3000"/>
          </w:tcPr>
          <w:p>
            <w:pPr>
              <w:jc w:val="center"/>
            </w:pPr>
            <w:r>
              <w:rPr>
                <w:rFonts w:ascii="Times New Roman" w:hAnsi="Times New Roman"/>
                <w:b/>
                <w:sz w:val="20"/>
              </w:rPr>
              <w:t>F1 (%)</w:t>
            </w:r>
          </w:p>
        </w:tc>
        <w:tc>
          <w:tcPr>
            <w:tcW w:type="dxa" w:w="3000"/>
          </w:tcPr>
          <w:p>
            <w:pPr>
              <w:jc w:val="center"/>
            </w:pPr>
            <w:r>
              <w:rPr>
                <w:rFonts w:ascii="Times New Roman" w:hAnsi="Times New Roman"/>
                <w:b/>
                <w:sz w:val="20"/>
              </w:rPr>
              <w:t>ΔF1 vs ALL</w:t>
            </w:r>
          </w:p>
        </w:tc>
      </w:tr>
      <w:tr>
        <w:tc>
          <w:tcPr>
            <w:tcW w:type="dxa" w:w="3000"/>
          </w:tcPr>
          <w:p>
            <w:pPr>
              <w:jc w:val="center"/>
            </w:pPr>
            <w:r>
              <w:rPr>
                <w:rFonts w:ascii="Times New Roman" w:hAnsi="Times New Roman"/>
                <w:sz w:val="20"/>
              </w:rPr>
              <w:t>ALL (50)</w:t>
            </w:r>
          </w:p>
        </w:tc>
        <w:tc>
          <w:tcPr>
            <w:tcW w:type="dxa" w:w="3000"/>
          </w:tcPr>
          <w:p>
            <w:pPr>
              <w:jc w:val="center"/>
            </w:pPr>
            <w:r>
              <w:rPr>
                <w:rFonts w:ascii="Times New Roman" w:hAnsi="Times New Roman"/>
                <w:sz w:val="20"/>
              </w:rPr>
              <w:t>61.13</w:t>
            </w:r>
          </w:p>
        </w:tc>
        <w:tc>
          <w:tcPr>
            <w:tcW w:type="dxa" w:w="3000"/>
          </w:tcPr>
          <w:p>
            <w:pPr>
              <w:jc w:val="center"/>
            </w:pPr>
            <w:r>
              <w:rPr>
                <w:rFonts w:ascii="Times New Roman" w:hAnsi="Times New Roman"/>
                <w:sz w:val="20"/>
              </w:rPr>
              <w:t xml:space="preserve">  0.00</w:t>
            </w:r>
          </w:p>
        </w:tc>
      </w:tr>
      <w:tr>
        <w:tc>
          <w:tcPr>
            <w:tcW w:type="dxa" w:w="3000"/>
          </w:tcPr>
          <w:p>
            <w:pPr>
              <w:jc w:val="center"/>
            </w:pPr>
            <w:r>
              <w:rPr>
                <w:rFonts w:ascii="Times New Roman" w:hAnsi="Times New Roman"/>
                <w:sz w:val="20"/>
              </w:rPr>
              <w:t>BASE only (30)</w:t>
            </w:r>
          </w:p>
        </w:tc>
        <w:tc>
          <w:tcPr>
            <w:tcW w:type="dxa" w:w="3000"/>
          </w:tcPr>
          <w:p>
            <w:pPr>
              <w:jc w:val="center"/>
            </w:pPr>
            <w:r>
              <w:rPr>
                <w:rFonts w:ascii="Times New Roman" w:hAnsi="Times New Roman"/>
                <w:sz w:val="20"/>
              </w:rPr>
              <w:t>52.85</w:t>
            </w:r>
          </w:p>
        </w:tc>
        <w:tc>
          <w:tcPr>
            <w:tcW w:type="dxa" w:w="3000"/>
          </w:tcPr>
          <w:p>
            <w:pPr>
              <w:jc w:val="center"/>
            </w:pPr>
            <w:r>
              <w:rPr>
                <w:rFonts w:ascii="Times New Roman" w:hAnsi="Times New Roman"/>
                <w:sz w:val="20"/>
              </w:rPr>
              <w:t xml:space="preserve">  −8.28</w:t>
            </w:r>
          </w:p>
        </w:tc>
      </w:tr>
      <w:tr>
        <w:tc>
          <w:tcPr>
            <w:tcW w:type="dxa" w:w="3000"/>
          </w:tcPr>
          <w:p>
            <w:pPr>
              <w:jc w:val="center"/>
            </w:pPr>
            <w:r>
              <w:rPr>
                <w:rFonts w:ascii="Times New Roman" w:hAnsi="Times New Roman"/>
                <w:sz w:val="20"/>
              </w:rPr>
              <w:t>DROP DWT (40)</w:t>
            </w:r>
          </w:p>
        </w:tc>
        <w:tc>
          <w:tcPr>
            <w:tcW w:type="dxa" w:w="3000"/>
          </w:tcPr>
          <w:p>
            <w:pPr>
              <w:jc w:val="center"/>
            </w:pPr>
            <w:r>
              <w:rPr>
                <w:rFonts w:ascii="Times New Roman" w:hAnsi="Times New Roman"/>
                <w:sz w:val="20"/>
              </w:rPr>
              <w:t>61.03</w:t>
            </w:r>
          </w:p>
        </w:tc>
        <w:tc>
          <w:tcPr>
            <w:tcW w:type="dxa" w:w="3000"/>
          </w:tcPr>
          <w:p>
            <w:pPr>
              <w:jc w:val="center"/>
            </w:pPr>
            <w:r>
              <w:rPr>
                <w:rFonts w:ascii="Times New Roman" w:hAnsi="Times New Roman"/>
                <w:sz w:val="20"/>
              </w:rPr>
              <w:t xml:space="preserve">  −0.10</w:t>
            </w:r>
          </w:p>
        </w:tc>
      </w:tr>
      <w:tr>
        <w:tc>
          <w:tcPr>
            <w:tcW w:type="dxa" w:w="3000"/>
          </w:tcPr>
          <w:p>
            <w:pPr>
              <w:jc w:val="center"/>
            </w:pPr>
            <w:r>
              <w:rPr>
                <w:rFonts w:ascii="Times New Roman" w:hAnsi="Times New Roman"/>
                <w:sz w:val="20"/>
              </w:rPr>
              <w:t>DROP ENT (46)</w:t>
            </w:r>
          </w:p>
        </w:tc>
        <w:tc>
          <w:tcPr>
            <w:tcW w:type="dxa" w:w="3000"/>
          </w:tcPr>
          <w:p>
            <w:pPr>
              <w:jc w:val="center"/>
            </w:pPr>
            <w:r>
              <w:rPr>
                <w:rFonts w:ascii="Times New Roman" w:hAnsi="Times New Roman"/>
                <w:sz w:val="20"/>
              </w:rPr>
              <w:t>61.04</w:t>
            </w:r>
          </w:p>
        </w:tc>
        <w:tc>
          <w:tcPr>
            <w:tcW w:type="dxa" w:w="3000"/>
          </w:tcPr>
          <w:p>
            <w:pPr>
              <w:jc w:val="center"/>
            </w:pPr>
            <w:r>
              <w:rPr>
                <w:rFonts w:ascii="Times New Roman" w:hAnsi="Times New Roman"/>
                <w:sz w:val="20"/>
              </w:rPr>
              <w:t xml:space="preserve">  −0.09</w:t>
            </w:r>
          </w:p>
        </w:tc>
      </w:tr>
      <w:tr>
        <w:tc>
          <w:tcPr>
            <w:tcW w:type="dxa" w:w="3000"/>
          </w:tcPr>
          <w:p>
            <w:pPr>
              <w:jc w:val="center"/>
            </w:pPr>
            <w:r>
              <w:rPr>
                <w:rFonts w:ascii="Times New Roman" w:hAnsi="Times New Roman"/>
                <w:sz w:val="20"/>
              </w:rPr>
              <w:t>DROP SLOPE (48)</w:t>
            </w:r>
          </w:p>
        </w:tc>
        <w:tc>
          <w:tcPr>
            <w:tcW w:type="dxa" w:w="3000"/>
          </w:tcPr>
          <w:p>
            <w:pPr>
              <w:jc w:val="center"/>
            </w:pPr>
            <w:r>
              <w:rPr>
                <w:rFonts w:ascii="Times New Roman" w:hAnsi="Times New Roman"/>
                <w:sz w:val="20"/>
              </w:rPr>
              <w:t>60.91</w:t>
            </w:r>
          </w:p>
        </w:tc>
        <w:tc>
          <w:tcPr>
            <w:tcW w:type="dxa" w:w="3000"/>
          </w:tcPr>
          <w:p>
            <w:pPr>
              <w:jc w:val="center"/>
            </w:pPr>
            <w:r>
              <w:rPr>
                <w:rFonts w:ascii="Times New Roman" w:hAnsi="Times New Roman"/>
                <w:sz w:val="20"/>
              </w:rPr>
              <w:t xml:space="preserve">  −0.22</w:t>
            </w:r>
          </w:p>
        </w:tc>
      </w:tr>
      <w:tr>
        <w:tc>
          <w:tcPr>
            <w:tcW w:type="dxa" w:w="3000"/>
          </w:tcPr>
          <w:p>
            <w:pPr>
              <w:jc w:val="center"/>
            </w:pPr>
            <w:r>
              <w:rPr>
                <w:rFonts w:ascii="Times New Roman" w:hAnsi="Times New Roman"/>
                <w:sz w:val="20"/>
              </w:rPr>
              <w:t>DROP COH (46)</w:t>
            </w:r>
          </w:p>
        </w:tc>
        <w:tc>
          <w:tcPr>
            <w:tcW w:type="dxa" w:w="3000"/>
          </w:tcPr>
          <w:p>
            <w:pPr>
              <w:jc w:val="center"/>
            </w:pPr>
            <w:r>
              <w:rPr>
                <w:rFonts w:ascii="Times New Roman" w:hAnsi="Times New Roman"/>
                <w:sz w:val="20"/>
              </w:rPr>
              <w:t>54.31</w:t>
            </w:r>
          </w:p>
        </w:tc>
        <w:tc>
          <w:tcPr>
            <w:tcW w:type="dxa" w:w="3000"/>
          </w:tcPr>
          <w:p>
            <w:pPr>
              <w:jc w:val="center"/>
            </w:pPr>
            <w:r>
              <w:rPr>
                <w:rFonts w:ascii="Times New Roman" w:hAnsi="Times New Roman"/>
                <w:sz w:val="20"/>
              </w:rPr>
              <w:t xml:space="preserve">  −6.82</w:t>
            </w:r>
          </w:p>
        </w:tc>
      </w:tr>
      <w:tr>
        <w:tc>
          <w:tcPr>
            <w:tcW w:type="dxa" w:w="3000"/>
          </w:tcPr>
          <w:p>
            <w:pPr>
              <w:jc w:val="center"/>
            </w:pPr>
            <w:r>
              <w:rPr>
                <w:rFonts w:ascii="Times New Roman" w:hAnsi="Times New Roman"/>
                <w:sz w:val="20"/>
              </w:rPr>
              <w:t>ONLY DWT (10)</w:t>
            </w:r>
          </w:p>
        </w:tc>
        <w:tc>
          <w:tcPr>
            <w:tcW w:type="dxa" w:w="3000"/>
          </w:tcPr>
          <w:p>
            <w:pPr>
              <w:jc w:val="center"/>
            </w:pPr>
            <w:r>
              <w:rPr>
                <w:rFonts w:ascii="Times New Roman" w:hAnsi="Times New Roman"/>
                <w:sz w:val="20"/>
              </w:rPr>
              <w:t>53.05</w:t>
            </w:r>
          </w:p>
        </w:tc>
        <w:tc>
          <w:tcPr>
            <w:tcW w:type="dxa" w:w="3000"/>
          </w:tcPr>
          <w:p>
            <w:pPr>
              <w:jc w:val="center"/>
            </w:pPr>
            <w:r>
              <w:rPr>
                <w:rFonts w:ascii="Times New Roman" w:hAnsi="Times New Roman"/>
                <w:sz w:val="20"/>
              </w:rPr>
              <w:t xml:space="preserve">  −8.08</w:t>
            </w:r>
          </w:p>
        </w:tc>
      </w:tr>
      <w:tr>
        <w:tc>
          <w:tcPr>
            <w:tcW w:type="dxa" w:w="3000"/>
          </w:tcPr>
          <w:p>
            <w:pPr>
              <w:jc w:val="center"/>
            </w:pPr>
            <w:r>
              <w:rPr>
                <w:rFonts w:ascii="Times New Roman" w:hAnsi="Times New Roman"/>
                <w:sz w:val="20"/>
              </w:rPr>
              <w:t>NEW FAMILIES (20, DWT+ENT+SLOPE+COH)</w:t>
            </w:r>
          </w:p>
        </w:tc>
        <w:tc>
          <w:tcPr>
            <w:tcW w:type="dxa" w:w="3000"/>
          </w:tcPr>
          <w:p>
            <w:pPr>
              <w:jc w:val="center"/>
            </w:pPr>
            <w:r>
              <w:rPr>
                <w:rFonts w:ascii="Times New Roman" w:hAnsi="Times New Roman"/>
                <w:sz w:val="20"/>
              </w:rPr>
              <w:t>61.17</w:t>
            </w:r>
          </w:p>
        </w:tc>
        <w:tc>
          <w:tcPr>
            <w:tcW w:type="dxa" w:w="3000"/>
          </w:tcPr>
          <w:p>
            <w:pPr>
              <w:jc w:val="center"/>
            </w:pPr>
            <w:r>
              <w:rPr>
                <w:rFonts w:ascii="Times New Roman" w:hAnsi="Times New Roman"/>
                <w:sz w:val="20"/>
              </w:rPr>
              <w:t xml:space="preserve">  +0.04</w:t>
            </w:r>
          </w:p>
        </w:tc>
      </w:tr>
      <w:tr>
        <w:tc>
          <w:tcPr>
            <w:tcW w:type="dxa" w:w="3000"/>
          </w:tcPr>
          <w:p>
            <w:pPr>
              <w:jc w:val="center"/>
            </w:pPr>
            <w:r>
              <w:rPr>
                <w:rFonts w:ascii="Times New Roman" w:hAnsi="Times New Roman"/>
                <w:sz w:val="20"/>
              </w:rPr>
              <w:t>ONLY ENT+SLOPE+COH (10) ← lean</w:t>
            </w:r>
          </w:p>
        </w:tc>
        <w:tc>
          <w:tcPr>
            <w:tcW w:type="dxa" w:w="3000"/>
          </w:tcPr>
          <w:p>
            <w:pPr>
              <w:jc w:val="center"/>
            </w:pPr>
            <w:r>
              <w:rPr>
                <w:rFonts w:ascii="Times New Roman" w:hAnsi="Times New Roman"/>
                <w:sz w:val="20"/>
              </w:rPr>
              <w:t>62.08</w:t>
            </w:r>
          </w:p>
        </w:tc>
        <w:tc>
          <w:tcPr>
            <w:tcW w:type="dxa" w:w="3000"/>
          </w:tcPr>
          <w:p>
            <w:pPr>
              <w:jc w:val="center"/>
            </w:pPr>
            <w:r>
              <w:rPr>
                <w:rFonts w:ascii="Times New Roman" w:hAnsi="Times New Roman"/>
                <w:sz w:val="20"/>
              </w:rPr>
              <w:t xml:space="preserve">  +0.95</w:t>
            </w:r>
          </w:p>
        </w:tc>
      </w:tr>
    </w:tbl>
    <w:p/>
    <w:p>
      <w:pPr>
        <w:spacing w:before="120"/>
        <w:jc w:val="center"/>
      </w:pPr>
      <w:r>
        <w:rPr>
          <w:i/>
          <w:color w:val="808080"/>
          <w:sz w:val="22"/>
        </w:rPr>
        <w:br/>
        <w:t>[SCREENSHOT PLACEHOLDER: Figure 5.2 — Feature-family marginal contribution bar chart (DROP-X ΔF1).]</w:t>
        <w:br/>
      </w:r>
    </w:p>
    <w:p>
      <w:pPr>
        <w:spacing w:after="240"/>
        <w:jc w:val="center"/>
      </w:pPr>
      <w:r>
        <w:rPr>
          <w:b/>
          <w:sz w:val="20"/>
        </w:rPr>
        <w:t>Figure 5.2: Marginal contribution of each feature family measured by the LOSO F1 loss when that family is dropped.</w:t>
      </w:r>
    </w:p>
    <w:p>
      <w:pPr>
        <w:spacing w:before="200" w:after="120"/>
        <w:jc w:val="left"/>
      </w:pPr>
      <w:r>
        <w:rPr>
          <w:rFonts w:ascii="Times New Roman" w:hAnsi="Times New Roman"/>
          <w:b/>
          <w:sz w:val="24"/>
        </w:rPr>
        <w:t>5.1.2  Statistical Rigor: Paired Tests</w:t>
      </w:r>
    </w:p>
    <w:p>
      <w:pPr>
        <w:spacing w:line="360" w:lineRule="auto"/>
        <w:jc w:val="both"/>
      </w:pPr>
      <w:r>
        <w:rPr>
          <w:rFonts w:ascii="Times New Roman" w:hAnsi="Times New Roman"/>
          <w:sz w:val="24"/>
        </w:rPr>
        <w:t>Because the 10 DROZY subjects are the unit of independent replication under LOSO, comparisons between pipelines are paired at the subject level. The single most important paired test for the monitoring headline is v17 (EMA-smoothed lean LDA) versus v11 (unsmoothed lean LDA), since everything else in this project inherits from v11. On per-subject F1 at threshold = 0.5, the mean improvement is +13.62 F1 (sd = 12.32) across the 10 subjects; a one-sided paired Wilcoxon signed-rank test gives p = 0.0049, and paired Cohen's d = 1.11 (very large). Every one of the 10 subjects improves under smoothing, with individual gains ranging from +0.2 to +33.8 F1 points. Table 5.3 collects the full set of paired tests against the v11 lean baseline.</w:t>
      </w:r>
    </w:p>
    <w:p>
      <w:pPr>
        <w:spacing w:before="240"/>
        <w:jc w:val="center"/>
      </w:pPr>
      <w:r>
        <w:rPr>
          <w:rFonts w:ascii="Times New Roman" w:hAnsi="Times New Roman"/>
          <w:b/>
          <w:sz w:val="20"/>
        </w:rPr>
        <w:t>Table 5.3: Paired subject-level tests. The first row is v17-vs-v11 (deployable vs per-epoch); remaining rows are each comparator vs v11 lean. All p-values are one-sided (v17 &gt; comparator, or v11 &gt; comparator respectively).</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800"/>
          </w:tcPr>
          <w:p>
            <w:pPr>
              <w:jc w:val="center"/>
            </w:pPr>
            <w:r>
              <w:rPr>
                <w:rFonts w:ascii="Times New Roman" w:hAnsi="Times New Roman"/>
                <w:b/>
                <w:sz w:val="20"/>
              </w:rPr>
              <w:t>Comparator</w:t>
            </w:r>
          </w:p>
        </w:tc>
        <w:tc>
          <w:tcPr>
            <w:tcW w:type="dxa" w:w="1800"/>
          </w:tcPr>
          <w:p>
            <w:pPr>
              <w:jc w:val="center"/>
            </w:pPr>
            <w:r>
              <w:rPr>
                <w:rFonts w:ascii="Times New Roman" w:hAnsi="Times New Roman"/>
                <w:b/>
                <w:sz w:val="20"/>
              </w:rPr>
              <w:t>Δ (%)</w:t>
            </w:r>
          </w:p>
        </w:tc>
        <w:tc>
          <w:tcPr>
            <w:tcW w:type="dxa" w:w="1800"/>
          </w:tcPr>
          <w:p>
            <w:pPr>
              <w:jc w:val="center"/>
            </w:pPr>
            <w:r>
              <w:rPr>
                <w:rFonts w:ascii="Times New Roman" w:hAnsi="Times New Roman"/>
                <w:b/>
                <w:sz w:val="20"/>
              </w:rPr>
              <w:t>Wilcoxon p</w:t>
            </w:r>
          </w:p>
        </w:tc>
        <w:tc>
          <w:tcPr>
            <w:tcW w:type="dxa" w:w="1800"/>
          </w:tcPr>
          <w:p>
            <w:pPr>
              <w:jc w:val="center"/>
            </w:pPr>
            <w:r>
              <w:rPr>
                <w:rFonts w:ascii="Times New Roman" w:hAnsi="Times New Roman"/>
                <w:b/>
                <w:sz w:val="20"/>
              </w:rPr>
              <w:t>paired d</w:t>
            </w:r>
          </w:p>
        </w:tc>
        <w:tc>
          <w:tcPr>
            <w:tcW w:type="dxa" w:w="1800"/>
          </w:tcPr>
          <w:p>
            <w:pPr>
              <w:jc w:val="center"/>
            </w:pPr>
            <w:r>
              <w:rPr>
                <w:rFonts w:ascii="Times New Roman" w:hAnsi="Times New Roman"/>
                <w:b/>
                <w:sz w:val="20"/>
              </w:rPr>
              <w:t>notes</w:t>
            </w:r>
          </w:p>
        </w:tc>
      </w:tr>
      <w:tr>
        <w:tc>
          <w:tcPr>
            <w:tcW w:type="dxa" w:w="1800"/>
          </w:tcPr>
          <w:p>
            <w:pPr>
              <w:jc w:val="center"/>
            </w:pPr>
            <w:r>
              <w:rPr>
                <w:rFonts w:ascii="Times New Roman" w:hAnsi="Times New Roman"/>
                <w:sz w:val="20"/>
              </w:rPr>
              <w:t>v17 EMA smoother (over v11 lean)</w:t>
            </w:r>
          </w:p>
        </w:tc>
        <w:tc>
          <w:tcPr>
            <w:tcW w:type="dxa" w:w="1800"/>
          </w:tcPr>
          <w:p>
            <w:pPr>
              <w:jc w:val="center"/>
            </w:pPr>
            <w:r>
              <w:rPr>
                <w:rFonts w:ascii="Times New Roman" w:hAnsi="Times New Roman"/>
                <w:sz w:val="20"/>
              </w:rPr>
              <w:t>+13.62</w:t>
            </w:r>
          </w:p>
        </w:tc>
        <w:tc>
          <w:tcPr>
            <w:tcW w:type="dxa" w:w="1800"/>
          </w:tcPr>
          <w:p>
            <w:pPr>
              <w:jc w:val="center"/>
            </w:pPr>
            <w:r>
              <w:rPr>
                <w:rFonts w:ascii="Times New Roman" w:hAnsi="Times New Roman"/>
                <w:sz w:val="20"/>
              </w:rPr>
              <w:t>0.0049</w:t>
            </w:r>
          </w:p>
        </w:tc>
        <w:tc>
          <w:tcPr>
            <w:tcW w:type="dxa" w:w="1800"/>
          </w:tcPr>
          <w:p>
            <w:pPr>
              <w:jc w:val="center"/>
            </w:pPr>
            <w:r>
              <w:rPr>
                <w:rFonts w:ascii="Times New Roman" w:hAnsi="Times New Roman"/>
                <w:sz w:val="20"/>
              </w:rPr>
              <w:t>+1.11</w:t>
            </w:r>
          </w:p>
        </w:tc>
        <w:tc>
          <w:tcPr>
            <w:tcW w:type="dxa" w:w="1800"/>
          </w:tcPr>
          <w:p>
            <w:pPr>
              <w:jc w:val="center"/>
            </w:pPr>
            <w:r>
              <w:rPr>
                <w:rFonts w:ascii="Times New Roman" w:hAnsi="Times New Roman"/>
                <w:sz w:val="20"/>
              </w:rPr>
              <w:t>Monitoring headline — every subject improves</w:t>
            </w:r>
          </w:p>
        </w:tc>
      </w:tr>
      <w:tr>
        <w:tc>
          <w:tcPr>
            <w:tcW w:type="dxa" w:w="1800"/>
          </w:tcPr>
          <w:p>
            <w:pPr>
              <w:jc w:val="center"/>
            </w:pPr>
            <w:r>
              <w:rPr>
                <w:rFonts w:ascii="Times New Roman" w:hAnsi="Times New Roman"/>
                <w:sz w:val="20"/>
              </w:rPr>
              <w:t>v14 EEGNet (raw, LOSO)</w:t>
            </w:r>
          </w:p>
        </w:tc>
        <w:tc>
          <w:tcPr>
            <w:tcW w:type="dxa" w:w="1800"/>
          </w:tcPr>
          <w:p>
            <w:pPr>
              <w:jc w:val="center"/>
            </w:pPr>
            <w:r>
              <w:rPr>
                <w:rFonts w:ascii="Times New Roman" w:hAnsi="Times New Roman"/>
                <w:sz w:val="20"/>
              </w:rPr>
              <w:t>+14.76</w:t>
            </w:r>
          </w:p>
        </w:tc>
        <w:tc>
          <w:tcPr>
            <w:tcW w:type="dxa" w:w="1800"/>
          </w:tcPr>
          <w:p>
            <w:pPr>
              <w:jc w:val="center"/>
            </w:pPr>
            <w:r>
              <w:rPr>
                <w:rFonts w:ascii="Times New Roman" w:hAnsi="Times New Roman"/>
                <w:sz w:val="20"/>
              </w:rPr>
              <w:t>0.032</w:t>
            </w:r>
          </w:p>
        </w:tc>
        <w:tc>
          <w:tcPr>
            <w:tcW w:type="dxa" w:w="1800"/>
          </w:tcPr>
          <w:p>
            <w:pPr>
              <w:jc w:val="center"/>
            </w:pPr>
            <w:r>
              <w:rPr>
                <w:rFonts w:ascii="Times New Roman" w:hAnsi="Times New Roman"/>
                <w:sz w:val="20"/>
              </w:rPr>
              <w:t>+0.78</w:t>
            </w:r>
          </w:p>
        </w:tc>
        <w:tc>
          <w:tcPr>
            <w:tcW w:type="dxa" w:w="1800"/>
          </w:tcPr>
          <w:p>
            <w:pPr>
              <w:jc w:val="center"/>
            </w:pPr>
            <w:r>
              <w:rPr>
                <w:rFonts w:ascii="Times New Roman" w:hAnsi="Times New Roman"/>
                <w:sz w:val="20"/>
              </w:rPr>
              <w:t>Deep-learning baseline loss</w:t>
            </w:r>
          </w:p>
        </w:tc>
      </w:tr>
      <w:tr>
        <w:tc>
          <w:tcPr>
            <w:tcW w:type="dxa" w:w="1800"/>
          </w:tcPr>
          <w:p>
            <w:pPr>
              <w:jc w:val="center"/>
            </w:pPr>
            <w:r>
              <w:rPr>
                <w:rFonts w:ascii="Times New Roman" w:hAnsi="Times New Roman"/>
                <w:sz w:val="20"/>
              </w:rPr>
              <w:t>v7  TS+LogReg (Riemann, tuned)</w:t>
            </w:r>
          </w:p>
        </w:tc>
        <w:tc>
          <w:tcPr>
            <w:tcW w:type="dxa" w:w="1800"/>
          </w:tcPr>
          <w:p>
            <w:pPr>
              <w:jc w:val="center"/>
            </w:pPr>
            <w:r>
              <w:rPr>
                <w:rFonts w:ascii="Times New Roman" w:hAnsi="Times New Roman"/>
                <w:sz w:val="20"/>
              </w:rPr>
              <w:t>+4.40</w:t>
            </w:r>
          </w:p>
        </w:tc>
        <w:tc>
          <w:tcPr>
            <w:tcW w:type="dxa" w:w="1800"/>
          </w:tcPr>
          <w:p>
            <w:pPr>
              <w:jc w:val="center"/>
            </w:pPr>
            <w:r>
              <w:rPr>
                <w:rFonts w:ascii="Times New Roman" w:hAnsi="Times New Roman"/>
                <w:sz w:val="20"/>
              </w:rPr>
              <w:t>0.042</w:t>
            </w:r>
          </w:p>
        </w:tc>
        <w:tc>
          <w:tcPr>
            <w:tcW w:type="dxa" w:w="1800"/>
          </w:tcPr>
          <w:p>
            <w:pPr>
              <w:jc w:val="center"/>
            </w:pPr>
            <w:r>
              <w:rPr>
                <w:rFonts w:ascii="Times New Roman" w:hAnsi="Times New Roman"/>
                <w:sz w:val="20"/>
              </w:rPr>
              <w:t>+0.65</w:t>
            </w:r>
          </w:p>
        </w:tc>
        <w:tc>
          <w:tcPr>
            <w:tcW w:type="dxa" w:w="1800"/>
          </w:tcPr>
          <w:p>
            <w:pPr>
              <w:jc w:val="center"/>
            </w:pPr>
            <w:r>
              <w:rPr>
                <w:rFonts w:ascii="Times New Roman" w:hAnsi="Times New Roman"/>
                <w:sz w:val="20"/>
              </w:rPr>
              <w:t>Riemannian state-of-the-art</w:t>
            </w:r>
          </w:p>
        </w:tc>
      </w:tr>
      <w:tr>
        <w:tc>
          <w:tcPr>
            <w:tcW w:type="dxa" w:w="1800"/>
          </w:tcPr>
          <w:p>
            <w:pPr>
              <w:jc w:val="center"/>
            </w:pPr>
            <w:r>
              <w:rPr>
                <w:rFonts w:ascii="Times New Roman" w:hAnsi="Times New Roman"/>
                <w:sz w:val="20"/>
              </w:rPr>
              <w:t>v6  TS + LDA (Riemann)</w:t>
            </w:r>
          </w:p>
        </w:tc>
        <w:tc>
          <w:tcPr>
            <w:tcW w:type="dxa" w:w="1800"/>
          </w:tcPr>
          <w:p>
            <w:pPr>
              <w:jc w:val="center"/>
            </w:pPr>
            <w:r>
              <w:rPr>
                <w:rFonts w:ascii="Times New Roman" w:hAnsi="Times New Roman"/>
                <w:sz w:val="20"/>
              </w:rPr>
              <w:t>+4.96</w:t>
            </w:r>
          </w:p>
        </w:tc>
        <w:tc>
          <w:tcPr>
            <w:tcW w:type="dxa" w:w="1800"/>
          </w:tcPr>
          <w:p>
            <w:pPr>
              <w:jc w:val="center"/>
            </w:pPr>
            <w:r>
              <w:rPr>
                <w:rFonts w:ascii="Times New Roman" w:hAnsi="Times New Roman"/>
                <w:sz w:val="20"/>
              </w:rPr>
              <w:t>0.019</w:t>
            </w:r>
          </w:p>
        </w:tc>
        <w:tc>
          <w:tcPr>
            <w:tcW w:type="dxa" w:w="1800"/>
          </w:tcPr>
          <w:p>
            <w:pPr>
              <w:jc w:val="center"/>
            </w:pPr>
            <w:r>
              <w:rPr>
                <w:rFonts w:ascii="Times New Roman" w:hAnsi="Times New Roman"/>
                <w:sz w:val="20"/>
              </w:rPr>
              <w:t>+0.66</w:t>
            </w:r>
          </w:p>
        </w:tc>
        <w:tc>
          <w:tcPr>
            <w:tcW w:type="dxa" w:w="1800"/>
          </w:tcPr>
          <w:p>
            <w:pPr>
              <w:jc w:val="center"/>
            </w:pPr>
            <w:r>
              <w:rPr>
                <w:rFonts w:ascii="Times New Roman" w:hAnsi="Times New Roman"/>
                <w:sz w:val="20"/>
              </w:rPr>
              <w:t>Untuned Riemannian</w:t>
            </w:r>
          </w:p>
        </w:tc>
      </w:tr>
      <w:tr>
        <w:tc>
          <w:tcPr>
            <w:tcW w:type="dxa" w:w="1800"/>
          </w:tcPr>
          <w:p>
            <w:pPr>
              <w:jc w:val="center"/>
            </w:pPr>
            <w:r>
              <w:rPr>
                <w:rFonts w:ascii="Times New Roman" w:hAnsi="Times New Roman"/>
                <w:sz w:val="20"/>
              </w:rPr>
              <w:t>v11 [DROP COH] (46 feats)</w:t>
            </w:r>
          </w:p>
        </w:tc>
        <w:tc>
          <w:tcPr>
            <w:tcW w:type="dxa" w:w="1800"/>
          </w:tcPr>
          <w:p>
            <w:pPr>
              <w:jc w:val="center"/>
            </w:pPr>
            <w:r>
              <w:rPr>
                <w:rFonts w:ascii="Times New Roman" w:hAnsi="Times New Roman"/>
                <w:sz w:val="20"/>
              </w:rPr>
              <w:t>+7.77</w:t>
            </w:r>
          </w:p>
        </w:tc>
        <w:tc>
          <w:tcPr>
            <w:tcW w:type="dxa" w:w="1800"/>
          </w:tcPr>
          <w:p>
            <w:pPr>
              <w:jc w:val="center"/>
            </w:pPr>
            <w:r>
              <w:rPr>
                <w:rFonts w:ascii="Times New Roman" w:hAnsi="Times New Roman"/>
                <w:sz w:val="20"/>
              </w:rPr>
              <w:t>0.042</w:t>
            </w:r>
          </w:p>
        </w:tc>
        <w:tc>
          <w:tcPr>
            <w:tcW w:type="dxa" w:w="1800"/>
          </w:tcPr>
          <w:p>
            <w:pPr>
              <w:jc w:val="center"/>
            </w:pPr>
            <w:r>
              <w:rPr>
                <w:rFonts w:ascii="Times New Roman" w:hAnsi="Times New Roman"/>
                <w:sz w:val="20"/>
              </w:rPr>
              <w:t>+0.66</w:t>
            </w:r>
          </w:p>
        </w:tc>
        <w:tc>
          <w:tcPr>
            <w:tcW w:type="dxa" w:w="1800"/>
          </w:tcPr>
          <w:p>
            <w:pPr>
              <w:jc w:val="center"/>
            </w:pPr>
            <w:r>
              <w:rPr>
                <w:rFonts w:ascii="Times New Roman" w:hAnsi="Times New Roman"/>
                <w:sz w:val="20"/>
              </w:rPr>
              <w:t>Direct evidence: coherence is load-bearing</w:t>
            </w:r>
          </w:p>
        </w:tc>
      </w:tr>
      <w:tr>
        <w:tc>
          <w:tcPr>
            <w:tcW w:type="dxa" w:w="1800"/>
          </w:tcPr>
          <w:p>
            <w:pPr>
              <w:jc w:val="center"/>
            </w:pPr>
            <w:r>
              <w:rPr>
                <w:rFonts w:ascii="Times New Roman" w:hAnsi="Times New Roman"/>
                <w:sz w:val="20"/>
              </w:rPr>
              <w:t>v11 [BASE only] (30 feats)</w:t>
            </w:r>
          </w:p>
        </w:tc>
        <w:tc>
          <w:tcPr>
            <w:tcW w:type="dxa" w:w="1800"/>
          </w:tcPr>
          <w:p>
            <w:pPr>
              <w:jc w:val="center"/>
            </w:pPr>
            <w:r>
              <w:rPr>
                <w:rFonts w:ascii="Times New Roman" w:hAnsi="Times New Roman"/>
                <w:sz w:val="20"/>
              </w:rPr>
              <w:t>+9.23</w:t>
            </w:r>
          </w:p>
        </w:tc>
        <w:tc>
          <w:tcPr>
            <w:tcW w:type="dxa" w:w="1800"/>
          </w:tcPr>
          <w:p>
            <w:pPr>
              <w:jc w:val="center"/>
            </w:pPr>
            <w:r>
              <w:rPr>
                <w:rFonts w:ascii="Times New Roman" w:hAnsi="Times New Roman"/>
                <w:sz w:val="20"/>
              </w:rPr>
              <w:t>0.024</w:t>
            </w:r>
          </w:p>
        </w:tc>
        <w:tc>
          <w:tcPr>
            <w:tcW w:type="dxa" w:w="1800"/>
          </w:tcPr>
          <w:p>
            <w:pPr>
              <w:jc w:val="center"/>
            </w:pPr>
            <w:r>
              <w:rPr>
                <w:rFonts w:ascii="Times New Roman" w:hAnsi="Times New Roman"/>
                <w:sz w:val="20"/>
              </w:rPr>
              <w:t>+0.72</w:t>
            </w:r>
          </w:p>
        </w:tc>
        <w:tc>
          <w:tcPr>
            <w:tcW w:type="dxa" w:w="1800"/>
          </w:tcPr>
          <w:p>
            <w:pPr>
              <w:jc w:val="center"/>
            </w:pPr>
            <w:r>
              <w:rPr>
                <w:rFonts w:ascii="Times New Roman" w:hAnsi="Times New Roman"/>
                <w:sz w:val="20"/>
              </w:rPr>
              <w:t>Hand-crafted baseline</w:t>
            </w:r>
          </w:p>
        </w:tc>
      </w:tr>
      <w:tr>
        <w:tc>
          <w:tcPr>
            <w:tcW w:type="dxa" w:w="1800"/>
          </w:tcPr>
          <w:p>
            <w:pPr>
              <w:jc w:val="center"/>
            </w:pPr>
            <w:r>
              <w:rPr>
                <w:rFonts w:ascii="Times New Roman" w:hAnsi="Times New Roman"/>
                <w:sz w:val="20"/>
              </w:rPr>
              <w:t>v5  LDA (subject_awake)</w:t>
            </w:r>
          </w:p>
        </w:tc>
        <w:tc>
          <w:tcPr>
            <w:tcW w:type="dxa" w:w="1800"/>
          </w:tcPr>
          <w:p>
            <w:pPr>
              <w:jc w:val="center"/>
            </w:pPr>
            <w:r>
              <w:rPr>
                <w:rFonts w:ascii="Times New Roman" w:hAnsi="Times New Roman"/>
                <w:sz w:val="20"/>
              </w:rPr>
              <w:t>+8.81</w:t>
            </w:r>
          </w:p>
        </w:tc>
        <w:tc>
          <w:tcPr>
            <w:tcW w:type="dxa" w:w="1800"/>
          </w:tcPr>
          <w:p>
            <w:pPr>
              <w:jc w:val="center"/>
            </w:pPr>
            <w:r>
              <w:rPr>
                <w:rFonts w:ascii="Times New Roman" w:hAnsi="Times New Roman"/>
                <w:sz w:val="20"/>
              </w:rPr>
              <w:t>0.032</w:t>
            </w:r>
          </w:p>
        </w:tc>
        <w:tc>
          <w:tcPr>
            <w:tcW w:type="dxa" w:w="1800"/>
          </w:tcPr>
          <w:p>
            <w:pPr>
              <w:jc w:val="center"/>
            </w:pPr>
            <w:r>
              <w:rPr>
                <w:rFonts w:ascii="Times New Roman" w:hAnsi="Times New Roman"/>
                <w:sz w:val="20"/>
              </w:rPr>
              <w:t>+0.70</w:t>
            </w:r>
          </w:p>
        </w:tc>
        <w:tc>
          <w:tcPr>
            <w:tcW w:type="dxa" w:w="1800"/>
          </w:tcPr>
          <w:p>
            <w:pPr>
              <w:jc w:val="center"/>
            </w:pPr>
            <w:r>
              <w:rPr>
                <w:rFonts w:ascii="Times New Roman" w:hAnsi="Times New Roman"/>
                <w:sz w:val="20"/>
              </w:rPr>
              <w:t>Pre-extended-feature LDA</w:t>
            </w:r>
          </w:p>
        </w:tc>
      </w:tr>
      <w:tr>
        <w:tc>
          <w:tcPr>
            <w:tcW w:type="dxa" w:w="1800"/>
          </w:tcPr>
          <w:p>
            <w:pPr>
              <w:jc w:val="center"/>
            </w:pPr>
            <w:r>
              <w:rPr>
                <w:rFonts w:ascii="Times New Roman" w:hAnsi="Times New Roman"/>
                <w:sz w:val="20"/>
              </w:rPr>
              <w:t>v3  Gradient Boosting</w:t>
            </w:r>
          </w:p>
        </w:tc>
        <w:tc>
          <w:tcPr>
            <w:tcW w:type="dxa" w:w="1800"/>
          </w:tcPr>
          <w:p>
            <w:pPr>
              <w:jc w:val="center"/>
            </w:pPr>
            <w:r>
              <w:rPr>
                <w:rFonts w:ascii="Times New Roman" w:hAnsi="Times New Roman"/>
                <w:sz w:val="20"/>
              </w:rPr>
              <w:t>+10.66</w:t>
            </w:r>
          </w:p>
        </w:tc>
        <w:tc>
          <w:tcPr>
            <w:tcW w:type="dxa" w:w="1800"/>
          </w:tcPr>
          <w:p>
            <w:pPr>
              <w:jc w:val="center"/>
            </w:pPr>
            <w:r>
              <w:rPr>
                <w:rFonts w:ascii="Times New Roman" w:hAnsi="Times New Roman"/>
                <w:sz w:val="20"/>
              </w:rPr>
              <w:t>0.007</w:t>
            </w:r>
          </w:p>
        </w:tc>
        <w:tc>
          <w:tcPr>
            <w:tcW w:type="dxa" w:w="1800"/>
          </w:tcPr>
          <w:p>
            <w:pPr>
              <w:jc w:val="center"/>
            </w:pPr>
            <w:r>
              <w:rPr>
                <w:rFonts w:ascii="Times New Roman" w:hAnsi="Times New Roman"/>
                <w:sz w:val="20"/>
              </w:rPr>
              <w:t>+0.91</w:t>
            </w:r>
          </w:p>
        </w:tc>
        <w:tc>
          <w:tcPr>
            <w:tcW w:type="dxa" w:w="1800"/>
          </w:tcPr>
          <w:p>
            <w:pPr>
              <w:jc w:val="center"/>
            </w:pPr>
            <w:r>
              <w:rPr>
                <w:rFonts w:ascii="Times New Roman" w:hAnsi="Times New Roman"/>
                <w:sz w:val="20"/>
              </w:rPr>
              <w:t>Off-the-shelf ML baseline</w:t>
            </w:r>
          </w:p>
        </w:tc>
      </w:tr>
    </w:tbl>
    <w:p/>
    <w:p>
      <w:pPr>
        <w:spacing w:line="360" w:lineRule="auto"/>
        <w:jc w:val="both"/>
      </w:pPr>
      <w:r>
        <w:rPr>
          <w:rFonts w:ascii="Times New Roman" w:hAnsi="Times New Roman"/>
          <w:sz w:val="24"/>
        </w:rPr>
        <w:t>The smoothing effect (d = 1.11) dominates every between-pipeline difference in the table — a rare property in drowsiness-detection literature, where gains of 1–3 F1 points are typical. The more fundamental paired tests around v11 (the coherence-drop and the BASE-only comparisons) show that the lean pipeline's gain over classical baselines is itself statistically robust with large effect sizes (d = 0.66–0.91). Dropping coherence while keeping the other 46 features produces a statistically significant performance loss (p = 0.042, d = 0.66) — direct empirical evidence that O1–O2 coherence is the load-bearing feature for occipital-only drowsiness detection.</w:t>
      </w:r>
    </w:p>
    <w:p>
      <w:pPr>
        <w:spacing w:before="120"/>
        <w:jc w:val="center"/>
      </w:pPr>
      <w:r>
        <w:rPr>
          <w:i/>
          <w:color w:val="808080"/>
          <w:sz w:val="22"/>
        </w:rPr>
        <w:br/>
        <w:t>[SCREENSHOT PLACEHOLDER: Figure 5.3 — Per-subject paired F1 for v17 vs v11 (forest plot with arrows).]</w:t>
        <w:br/>
      </w:r>
    </w:p>
    <w:p>
      <w:pPr>
        <w:spacing w:after="240"/>
        <w:jc w:val="center"/>
      </w:pPr>
      <w:r>
        <w:rPr>
          <w:b/>
          <w:sz w:val="20"/>
        </w:rPr>
        <w:t>Figure 5.3: Per-subject paired F1 improvement under v17 smoothing vs v11 baseline; every subject improves.</w:t>
      </w:r>
    </w:p>
    <w:p>
      <w:pPr>
        <w:spacing w:before="200" w:after="120"/>
        <w:jc w:val="left"/>
      </w:pPr>
      <w:r>
        <w:rPr>
          <w:rFonts w:ascii="Times New Roman" w:hAnsi="Times New Roman"/>
          <w:b/>
          <w:sz w:val="24"/>
        </w:rPr>
        <w:t>5.1.3  Calibration-Window Sweep</w:t>
      </w:r>
    </w:p>
    <w:p>
      <w:pPr>
        <w:spacing w:line="360" w:lineRule="auto"/>
        <w:jc w:val="both"/>
      </w:pPr>
      <w:r>
        <w:rPr>
          <w:rFonts w:ascii="Times New Roman" w:hAnsi="Times New Roman"/>
          <w:sz w:val="24"/>
        </w:rPr>
        <w:t>To quantify the cost of shorter calibration windows — a relevant constraint for deployment where drivers cannot be asked to sit still for minutes before departure — LDA accuracy was re-estimated under different awake-window lengths (30, 60, 120, 180, 300 s). The 60-second window produced the best LOSO F1 (54.32, v8), with monotonic degradation either side: 30 s is too noisy to estimate stable z-score statistics (F1 = 48.7), and ≥ 120 s begins to include early-session drift. This confirms the 60-second awake baseline used by the v9 extended and v11 lean pipelines as the operating point for the proposed system.</w:t>
      </w:r>
    </w:p>
    <w:p>
      <w:pPr>
        <w:spacing w:before="120"/>
        <w:jc w:val="center"/>
      </w:pPr>
      <w:r>
        <w:rPr>
          <w:i/>
          <w:color w:val="808080"/>
          <w:sz w:val="22"/>
        </w:rPr>
        <w:br/>
        <w:t>[SCREENSHOT PLACEHOLDER: Figure 5.5 — Calibration-window sweep; 60 s maximises LOSO F1.]</w:t>
        <w:br/>
      </w:r>
    </w:p>
    <w:p>
      <w:pPr>
        <w:spacing w:after="240"/>
        <w:jc w:val="center"/>
      </w:pPr>
      <w:r>
        <w:rPr>
          <w:b/>
          <w:sz w:val="20"/>
        </w:rPr>
        <w:t>Figure 5.5: LOSO F1 vs awake-calibration window length (30/60/120/180/300 s).</w:t>
      </w:r>
    </w:p>
    <w:p>
      <w:pPr>
        <w:spacing w:before="200" w:after="120"/>
        <w:jc w:val="left"/>
      </w:pPr>
      <w:r>
        <w:rPr>
          <w:rFonts w:ascii="Times New Roman" w:hAnsi="Times New Roman"/>
          <w:b/>
          <w:sz w:val="24"/>
        </w:rPr>
        <w:t>5.1.4  Per-Driver Calibration</w:t>
      </w:r>
    </w:p>
    <w:p>
      <w:pPr>
        <w:spacing w:line="360" w:lineRule="auto"/>
        <w:jc w:val="both"/>
      </w:pPr>
      <w:r>
        <w:rPr>
          <w:rFonts w:ascii="Times New Roman" w:hAnsi="Times New Roman"/>
          <w:sz w:val="24"/>
        </w:rPr>
        <w:t>Subject-independent LOSO is the strictest possible evaluation: the held-out driver contributes nothing to the classifier. In a real headrest deployment, however, every driver does pass through a brief calibration when first using the car — a short alert baseline at ignition, plus a small amount of labelled drowsy data accumulated over the first few drives (flagged opportunistically by the in-cabin camera DMS, by lane-departure heuristics, or by the driver themselves). This section quantifies how much that calibration buys.</w:t>
      </w:r>
    </w:p>
    <w:p>
      <w:pPr>
        <w:spacing w:line="360" w:lineRule="auto"/>
        <w:jc w:val="both"/>
      </w:pPr>
      <w:r>
        <w:rPr>
          <w:rFonts w:ascii="Times New Roman" w:hAnsi="Times New Roman"/>
          <w:sz w:val="24"/>
        </w:rPr>
        <w:t>For each held-out subject S, the lean 10-feature shrinkage LDA was evaluated under four regimes. (A) `generic` is the v11 baseline — train on the other 9 subjects, no per-driver adaptation. (B) `threshold_shift` keeps the generic decision boundary but searches the per-subject decision threshold that maximises F1 on a small calibration window. (C) `sample_augmentation` refits the LDA on the 9-subject pool plus S's calibration data, with the calibration samples upweighted ×5. (D) `subject_only` discards the generic model entirely and fits a tiny LDA on S's calibration data alone. The calibration window was swept at K ∈ {30, 60, 120, 300} seconds per class; numbers reported below are means across the ten LOSO folds with subject-level standard deviation, so the v11 generic baseline is reported as F1 = 60.79 ± 14.6 here (the concatenated F1 = 62.08 in Table 5.1 is computed over all 14,498 epochs and is therefore slightly higher than the per-subject average).</w:t>
      </w:r>
    </w:p>
    <w:p>
      <w:pPr>
        <w:spacing w:before="240"/>
        <w:jc w:val="center"/>
      </w:pPr>
      <w:r>
        <w:rPr>
          <w:rFonts w:ascii="Times New Roman" w:hAnsi="Times New Roman"/>
          <w:b/>
          <w:sz w:val="20"/>
        </w:rPr>
        <w:t>Table 5.4: Per-driver calibration sweep — mean per-subject F1 ± std across the 10 DROZY LOSO folds, lean 10-feature LDA.</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800"/>
          </w:tcPr>
          <w:p>
            <w:pPr>
              <w:jc w:val="center"/>
            </w:pPr>
            <w:r>
              <w:rPr>
                <w:rFonts w:ascii="Times New Roman" w:hAnsi="Times New Roman"/>
                <w:b/>
                <w:sz w:val="20"/>
              </w:rPr>
              <w:t>Calibration K / class</w:t>
            </w:r>
          </w:p>
        </w:tc>
        <w:tc>
          <w:tcPr>
            <w:tcW w:type="dxa" w:w="1800"/>
          </w:tcPr>
          <w:p>
            <w:pPr>
              <w:jc w:val="center"/>
            </w:pPr>
            <w:r>
              <w:rPr>
                <w:rFonts w:ascii="Times New Roman" w:hAnsi="Times New Roman"/>
                <w:b/>
                <w:sz w:val="20"/>
              </w:rPr>
              <w:t>generic F1</w:t>
            </w:r>
          </w:p>
        </w:tc>
        <w:tc>
          <w:tcPr>
            <w:tcW w:type="dxa" w:w="1800"/>
          </w:tcPr>
          <w:p>
            <w:pPr>
              <w:jc w:val="center"/>
            </w:pPr>
            <w:r>
              <w:rPr>
                <w:rFonts w:ascii="Times New Roman" w:hAnsi="Times New Roman"/>
                <w:b/>
                <w:sz w:val="20"/>
              </w:rPr>
              <w:t>threshold_shift F1</w:t>
            </w:r>
          </w:p>
        </w:tc>
        <w:tc>
          <w:tcPr>
            <w:tcW w:type="dxa" w:w="1800"/>
          </w:tcPr>
          <w:p>
            <w:pPr>
              <w:jc w:val="center"/>
            </w:pPr>
            <w:r>
              <w:rPr>
                <w:rFonts w:ascii="Times New Roman" w:hAnsi="Times New Roman"/>
                <w:b/>
                <w:sz w:val="20"/>
              </w:rPr>
              <w:t>sample_aug F1</w:t>
            </w:r>
          </w:p>
        </w:tc>
        <w:tc>
          <w:tcPr>
            <w:tcW w:type="dxa" w:w="1800"/>
          </w:tcPr>
          <w:p>
            <w:pPr>
              <w:jc w:val="center"/>
            </w:pPr>
            <w:r>
              <w:rPr>
                <w:rFonts w:ascii="Times New Roman" w:hAnsi="Times New Roman"/>
                <w:b/>
                <w:sz w:val="20"/>
              </w:rPr>
              <w:t>subject_only F1</w:t>
            </w:r>
          </w:p>
        </w:tc>
      </w:tr>
      <w:tr>
        <w:tc>
          <w:tcPr>
            <w:tcW w:type="dxa" w:w="1800"/>
          </w:tcPr>
          <w:p>
            <w:pPr>
              <w:jc w:val="center"/>
            </w:pPr>
            <w:r>
              <w:rPr>
                <w:rFonts w:ascii="Times New Roman" w:hAnsi="Times New Roman"/>
                <w:sz w:val="20"/>
              </w:rPr>
              <w:t>30 s   (3 epochs / class)</w:t>
            </w:r>
          </w:p>
        </w:tc>
        <w:tc>
          <w:tcPr>
            <w:tcW w:type="dxa" w:w="1800"/>
          </w:tcPr>
          <w:p>
            <w:pPr>
              <w:jc w:val="center"/>
            </w:pPr>
            <w:r>
              <w:rPr>
                <w:rFonts w:ascii="Times New Roman" w:hAnsi="Times New Roman"/>
                <w:sz w:val="20"/>
              </w:rPr>
              <w:t>60.79 ± 14.6</w:t>
            </w:r>
          </w:p>
        </w:tc>
        <w:tc>
          <w:tcPr>
            <w:tcW w:type="dxa" w:w="1800"/>
          </w:tcPr>
          <w:p>
            <w:pPr>
              <w:jc w:val="center"/>
            </w:pPr>
            <w:r>
              <w:rPr>
                <w:rFonts w:ascii="Times New Roman" w:hAnsi="Times New Roman"/>
                <w:sz w:val="20"/>
              </w:rPr>
              <w:t>53.74 ± 13.4</w:t>
            </w:r>
          </w:p>
        </w:tc>
        <w:tc>
          <w:tcPr>
            <w:tcW w:type="dxa" w:w="1800"/>
          </w:tcPr>
          <w:p>
            <w:pPr>
              <w:jc w:val="center"/>
            </w:pPr>
            <w:r>
              <w:rPr>
                <w:rFonts w:ascii="Times New Roman" w:hAnsi="Times New Roman"/>
                <w:sz w:val="20"/>
              </w:rPr>
              <w:t>60.79 ± 14.6</w:t>
            </w:r>
          </w:p>
        </w:tc>
        <w:tc>
          <w:tcPr>
            <w:tcW w:type="dxa" w:w="1800"/>
          </w:tcPr>
          <w:p>
            <w:pPr>
              <w:jc w:val="center"/>
            </w:pPr>
            <w:r>
              <w:rPr>
                <w:rFonts w:ascii="Times New Roman" w:hAnsi="Times New Roman"/>
                <w:sz w:val="20"/>
              </w:rPr>
              <w:t>54.19 ± 11.6</w:t>
            </w:r>
          </w:p>
        </w:tc>
      </w:tr>
      <w:tr>
        <w:tc>
          <w:tcPr>
            <w:tcW w:type="dxa" w:w="1800"/>
          </w:tcPr>
          <w:p>
            <w:pPr>
              <w:jc w:val="center"/>
            </w:pPr>
            <w:r>
              <w:rPr>
                <w:rFonts w:ascii="Times New Roman" w:hAnsi="Times New Roman"/>
                <w:sz w:val="20"/>
              </w:rPr>
              <w:t>60 s   (6 epochs / class)</w:t>
            </w:r>
          </w:p>
        </w:tc>
        <w:tc>
          <w:tcPr>
            <w:tcW w:type="dxa" w:w="1800"/>
          </w:tcPr>
          <w:p>
            <w:pPr>
              <w:jc w:val="center"/>
            </w:pPr>
            <w:r>
              <w:rPr>
                <w:rFonts w:ascii="Times New Roman" w:hAnsi="Times New Roman"/>
                <w:sz w:val="20"/>
              </w:rPr>
              <w:t>60.79 ± 14.6</w:t>
            </w:r>
          </w:p>
        </w:tc>
        <w:tc>
          <w:tcPr>
            <w:tcW w:type="dxa" w:w="1800"/>
          </w:tcPr>
          <w:p>
            <w:pPr>
              <w:jc w:val="center"/>
            </w:pPr>
            <w:r>
              <w:rPr>
                <w:rFonts w:ascii="Times New Roman" w:hAnsi="Times New Roman"/>
                <w:sz w:val="20"/>
              </w:rPr>
              <w:t>51.89 ± 13.1</w:t>
            </w:r>
          </w:p>
        </w:tc>
        <w:tc>
          <w:tcPr>
            <w:tcW w:type="dxa" w:w="1800"/>
          </w:tcPr>
          <w:p>
            <w:pPr>
              <w:jc w:val="center"/>
            </w:pPr>
            <w:r>
              <w:rPr>
                <w:rFonts w:ascii="Times New Roman" w:hAnsi="Times New Roman"/>
                <w:sz w:val="20"/>
              </w:rPr>
              <w:t>61.02 ± 14.8</w:t>
            </w:r>
          </w:p>
        </w:tc>
        <w:tc>
          <w:tcPr>
            <w:tcW w:type="dxa" w:w="1800"/>
          </w:tcPr>
          <w:p>
            <w:pPr>
              <w:jc w:val="center"/>
            </w:pPr>
            <w:r>
              <w:rPr>
                <w:rFonts w:ascii="Times New Roman" w:hAnsi="Times New Roman"/>
                <w:sz w:val="20"/>
              </w:rPr>
              <w:t>57.69 ± 11.8</w:t>
            </w:r>
          </w:p>
        </w:tc>
      </w:tr>
      <w:tr>
        <w:tc>
          <w:tcPr>
            <w:tcW w:type="dxa" w:w="1800"/>
          </w:tcPr>
          <w:p>
            <w:pPr>
              <w:jc w:val="center"/>
            </w:pPr>
            <w:r>
              <w:rPr>
                <w:rFonts w:ascii="Times New Roman" w:hAnsi="Times New Roman"/>
                <w:sz w:val="20"/>
              </w:rPr>
              <w:t>120 s  (12 epochs / class)</w:t>
            </w:r>
          </w:p>
        </w:tc>
        <w:tc>
          <w:tcPr>
            <w:tcW w:type="dxa" w:w="1800"/>
          </w:tcPr>
          <w:p>
            <w:pPr>
              <w:jc w:val="center"/>
            </w:pPr>
            <w:r>
              <w:rPr>
                <w:rFonts w:ascii="Times New Roman" w:hAnsi="Times New Roman"/>
                <w:sz w:val="20"/>
              </w:rPr>
              <w:t>60.78 ± 14.6</w:t>
            </w:r>
          </w:p>
        </w:tc>
        <w:tc>
          <w:tcPr>
            <w:tcW w:type="dxa" w:w="1800"/>
          </w:tcPr>
          <w:p>
            <w:pPr>
              <w:jc w:val="center"/>
            </w:pPr>
            <w:r>
              <w:rPr>
                <w:rFonts w:ascii="Times New Roman" w:hAnsi="Times New Roman"/>
                <w:sz w:val="20"/>
              </w:rPr>
              <w:t>55.44 ± 13.1</w:t>
            </w:r>
          </w:p>
        </w:tc>
        <w:tc>
          <w:tcPr>
            <w:tcW w:type="dxa" w:w="1800"/>
          </w:tcPr>
          <w:p>
            <w:pPr>
              <w:jc w:val="center"/>
            </w:pPr>
            <w:r>
              <w:rPr>
                <w:rFonts w:ascii="Times New Roman" w:hAnsi="Times New Roman"/>
                <w:sz w:val="20"/>
              </w:rPr>
              <w:t>61.10 ± 14.9</w:t>
            </w:r>
          </w:p>
        </w:tc>
        <w:tc>
          <w:tcPr>
            <w:tcW w:type="dxa" w:w="1800"/>
          </w:tcPr>
          <w:p>
            <w:pPr>
              <w:jc w:val="center"/>
            </w:pPr>
            <w:r>
              <w:rPr>
                <w:rFonts w:ascii="Times New Roman" w:hAnsi="Times New Roman"/>
                <w:sz w:val="20"/>
              </w:rPr>
              <w:t>61.10 ± 12.4</w:t>
            </w:r>
          </w:p>
        </w:tc>
      </w:tr>
      <w:tr>
        <w:tc>
          <w:tcPr>
            <w:tcW w:type="dxa" w:w="1800"/>
          </w:tcPr>
          <w:p>
            <w:pPr>
              <w:jc w:val="center"/>
            </w:pPr>
            <w:r>
              <w:rPr>
                <w:rFonts w:ascii="Times New Roman" w:hAnsi="Times New Roman"/>
                <w:sz w:val="20"/>
              </w:rPr>
              <w:t>300 s  (30 epochs / class) ← best</w:t>
            </w:r>
          </w:p>
        </w:tc>
        <w:tc>
          <w:tcPr>
            <w:tcW w:type="dxa" w:w="1800"/>
          </w:tcPr>
          <w:p>
            <w:pPr>
              <w:jc w:val="center"/>
            </w:pPr>
            <w:r>
              <w:rPr>
                <w:rFonts w:ascii="Times New Roman" w:hAnsi="Times New Roman"/>
                <w:sz w:val="20"/>
              </w:rPr>
              <w:t>60.68 ± 14.7</w:t>
            </w:r>
          </w:p>
        </w:tc>
        <w:tc>
          <w:tcPr>
            <w:tcW w:type="dxa" w:w="1800"/>
          </w:tcPr>
          <w:p>
            <w:pPr>
              <w:jc w:val="center"/>
            </w:pPr>
            <w:r>
              <w:rPr>
                <w:rFonts w:ascii="Times New Roman" w:hAnsi="Times New Roman"/>
                <w:sz w:val="20"/>
              </w:rPr>
              <w:t>58.66 ± 12.4</w:t>
            </w:r>
          </w:p>
        </w:tc>
        <w:tc>
          <w:tcPr>
            <w:tcW w:type="dxa" w:w="1800"/>
          </w:tcPr>
          <w:p>
            <w:pPr>
              <w:jc w:val="center"/>
            </w:pPr>
            <w:r>
              <w:rPr>
                <w:rFonts w:ascii="Times New Roman" w:hAnsi="Times New Roman"/>
                <w:sz w:val="20"/>
              </w:rPr>
              <w:t>61.13 ± 15.2</w:t>
            </w:r>
          </w:p>
        </w:tc>
        <w:tc>
          <w:tcPr>
            <w:tcW w:type="dxa" w:w="1800"/>
          </w:tcPr>
          <w:p>
            <w:pPr>
              <w:jc w:val="center"/>
            </w:pPr>
            <w:r>
              <w:rPr>
                <w:rFonts w:ascii="Times New Roman" w:hAnsi="Times New Roman"/>
                <w:sz w:val="20"/>
              </w:rPr>
              <w:t>64.10 ± 11.7</w:t>
            </w:r>
          </w:p>
        </w:tc>
      </w:tr>
    </w:tbl>
    <w:p/>
    <w:p>
      <w:pPr>
        <w:spacing w:line="360" w:lineRule="auto"/>
        <w:jc w:val="both"/>
      </w:pPr>
      <w:r>
        <w:rPr>
          <w:rFonts w:ascii="Times New Roman" w:hAnsi="Times New Roman"/>
          <w:sz w:val="24"/>
        </w:rPr>
        <w:t>Three observations matter for the deployment story. First, the `subject_only` regime with 300 s of labelled data per class — the equivalent of one realistic 5-minute drowsy episode plus 5 minutes of pre-drive baseline — reaches F1 = 64.10, AUC = 71.08, κ = 0.306. That is a +3.4 F1, +6.0 AUC, +0.07 κ improvement over the generic 9-subject model, achieved by training a 10-feature LDA on only 60 epochs from the actual driver. Standard deviation across drivers also drops from 14.6 to 11.7, so calibration both lifts the mean and tightens the per-driver tail. Second, calibration windows below 120 s per class actively *hurt*: the threshold-shift regime overfits the F1-optimal threshold on too few samples (F1 falls to 51–55), and `subject_only` cannot estimate within-class covariance from 3–6 epochs. Third, the `sample_augmentation` regime — keeping the 9-subject pool and upweighting calibration data — adds ≤ 0.4 F1 at every window length, indicating that the generic prior dominates whenever it is given any weight at all; the personal LDA wins only when the generic model is discarded.</w:t>
      </w:r>
    </w:p>
    <w:p>
      <w:pPr>
        <w:spacing w:line="360" w:lineRule="auto"/>
        <w:jc w:val="both"/>
      </w:pPr>
      <w:r>
        <w:rPr>
          <w:rFonts w:ascii="Times New Roman" w:hAnsi="Times New Roman"/>
          <w:sz w:val="24"/>
        </w:rPr>
        <w:t>The pipeline recommendation for a headrest product is therefore: ship the generic v17-smoothed v11 lean LDA as the cold-start classifier (F1 ≈ 77 on a brand-new driver after the first 10 minutes of smoother warm-up), and switch to a per-driver `subject_only` LDA once the system has accumulated ~5 minutes of labelled drowsy data from that driver (mean per-subject F1 ≈ 64, AUC ≈ 71, before re-smoothing). Calibration storage is trivial (60 epochs × 10 features × 8 bytes ≈ 5 kB per driver) and the closed-form Ledoit–Wolf shrinkage refit completes in milliseconds on the embedded MCU.</w:t>
      </w:r>
    </w:p>
    <w:p>
      <w:pPr>
        <w:spacing w:before="120"/>
        <w:jc w:val="center"/>
      </w:pPr>
      <w:r>
        <w:rPr>
          <w:i/>
          <w:color w:val="808080"/>
          <w:sz w:val="22"/>
        </w:rPr>
        <w:br/>
        <w:t>[SCREENSHOT PLACEHOLDER: Figure 5.5b — Per-driver calibration sweep: F1 vs calibration window for each regime.]</w:t>
        <w:br/>
      </w:r>
    </w:p>
    <w:p>
      <w:pPr>
        <w:spacing w:after="240"/>
        <w:jc w:val="center"/>
      </w:pPr>
      <w:r>
        <w:rPr>
          <w:b/>
          <w:sz w:val="20"/>
        </w:rPr>
        <w:t>Figure 5.5: Per-driver calibration sweep: mean per-subject F1 vs calibration-window length for the four regimes.</w:t>
      </w:r>
    </w:p>
    <w:p>
      <w:pPr>
        <w:spacing w:before="200" w:after="120"/>
        <w:jc w:val="left"/>
      </w:pPr>
      <w:r>
        <w:rPr>
          <w:rFonts w:ascii="Times New Roman" w:hAnsi="Times New Roman"/>
          <w:b/>
          <w:sz w:val="24"/>
        </w:rPr>
        <w:t>5.1.5  Causal EMA Smoother and Monitoring ROC</w:t>
      </w:r>
    </w:p>
    <w:p>
      <w:pPr>
        <w:spacing w:line="360" w:lineRule="auto"/>
        <w:jc w:val="both"/>
      </w:pPr>
      <w:r>
        <w:rPr>
          <w:rFonts w:ascii="Times New Roman" w:hAnsi="Times New Roman"/>
          <w:sz w:val="24"/>
        </w:rPr>
        <w:t>The v17 smoother takes the per-epoch posteriors produced by the v11 lean LDA and replaces each epoch's prediction with a causal exponential moving average with time-constant τ: p_smooth[t] = α · p[t] + (1 − α) · p_smooth[t − 1], where α = 1 − exp(−Δt / τ) and Δt = 10 s is the epoch length. The smoother is applied independently per subject — never across subject boundaries — and is strictly causal: the prediction at epoch t depends only on epochs up to t. Two segmentation regimes were compared: (a) per-session resets at the awake→drowsy label boundary (deployment-equivalent to an ignition reset) and (b) continuous per-subject with no resets (strictly conservative: the smoother lags through the label transition). The continuous regime was adopted as the headline because it is leakage-free — the per-session regime uses the label to find reset points, which is a silent label leak on DROZY where session ID and label coincide — and it nevertheless achieves F1 = 76.79 against the per-session regime's 74.57.</w:t>
      </w:r>
    </w:p>
    <w:p>
      <w:pPr>
        <w:spacing w:line="360" w:lineRule="auto"/>
        <w:jc w:val="both"/>
      </w:pPr>
      <w:r>
        <w:rPr>
          <w:rFonts w:ascii="Times New Roman" w:hAnsi="Times New Roman"/>
          <w:sz w:val="24"/>
        </w:rPr>
        <w:t>A full ROC curve for the v17 smoothed posterior is shown in Figure 5.4. The AUC is 76.62 %. Three reviewer-facing operating points are highlighted: a high-precision point at FPR ≤ 5 % (F1 = 77.48, TPR = 0.613, κ = 0.563), a balanced point at FPR ≤ 10 % (F1 = 77.32, TPR = 0.654, κ = 0.553), and a high-recall point at FPR ≤ 20 % (F1 = 75.68, TPR = 0.714, κ = 0.514). The F1-maximising threshold (0.523) sits inside the FPR ≤ 5 % region, which is why the default threshold = 0.5 already produces a near-optimal F1. Deployment should select the operating point from this Pareto curve according to the tolerable false-alarm budget of the surrounding DMS — for an EEG system operating alongside an in-cabin camera, the high-precision point is appropriate because the camera already provides a complementary high-sensitivity channel.</w:t>
      </w:r>
    </w:p>
    <w:p>
      <w:pPr>
        <w:spacing w:before="240"/>
        <w:jc w:val="center"/>
      </w:pPr>
      <w:r>
        <w:rPr>
          <w:rFonts w:ascii="Times New Roman" w:hAnsi="Times New Roman"/>
          <w:b/>
          <w:sz w:val="20"/>
        </w:rPr>
        <w:t>Table 5.5: Monitoring-track ROC operating points — v11 lean LDA + v17 causal EMA (τ = 600 s), DROZY LOSO.</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500"/>
          </w:tcPr>
          <w:p>
            <w:pPr>
              <w:jc w:val="center"/>
            </w:pPr>
            <w:r>
              <w:rPr>
                <w:rFonts w:ascii="Times New Roman" w:hAnsi="Times New Roman"/>
                <w:b/>
                <w:sz w:val="20"/>
              </w:rPr>
              <w:t>Operating point</w:t>
            </w:r>
          </w:p>
        </w:tc>
        <w:tc>
          <w:tcPr>
            <w:tcW w:type="dxa" w:w="1500"/>
          </w:tcPr>
          <w:p>
            <w:pPr>
              <w:jc w:val="center"/>
            </w:pPr>
            <w:r>
              <w:rPr>
                <w:rFonts w:ascii="Times New Roman" w:hAnsi="Times New Roman"/>
                <w:b/>
                <w:sz w:val="20"/>
              </w:rPr>
              <w:t>Threshold</w:t>
            </w:r>
          </w:p>
        </w:tc>
        <w:tc>
          <w:tcPr>
            <w:tcW w:type="dxa" w:w="1500"/>
          </w:tcPr>
          <w:p>
            <w:pPr>
              <w:jc w:val="center"/>
            </w:pPr>
            <w:r>
              <w:rPr>
                <w:rFonts w:ascii="Times New Roman" w:hAnsi="Times New Roman"/>
                <w:b/>
                <w:sz w:val="20"/>
              </w:rPr>
              <w:t>TPR</w:t>
            </w:r>
          </w:p>
        </w:tc>
        <w:tc>
          <w:tcPr>
            <w:tcW w:type="dxa" w:w="1500"/>
          </w:tcPr>
          <w:p>
            <w:pPr>
              <w:jc w:val="center"/>
            </w:pPr>
            <w:r>
              <w:rPr>
                <w:rFonts w:ascii="Times New Roman" w:hAnsi="Times New Roman"/>
                <w:b/>
                <w:sz w:val="20"/>
              </w:rPr>
              <w:t>FPR</w:t>
            </w:r>
          </w:p>
        </w:tc>
        <w:tc>
          <w:tcPr>
            <w:tcW w:type="dxa" w:w="1500"/>
          </w:tcPr>
          <w:p>
            <w:pPr>
              <w:jc w:val="center"/>
            </w:pPr>
            <w:r>
              <w:rPr>
                <w:rFonts w:ascii="Times New Roman" w:hAnsi="Times New Roman"/>
                <w:b/>
                <w:sz w:val="20"/>
              </w:rPr>
              <w:t>F1 (%)</w:t>
            </w:r>
          </w:p>
        </w:tc>
        <w:tc>
          <w:tcPr>
            <w:tcW w:type="dxa" w:w="1500"/>
          </w:tcPr>
          <w:p>
            <w:pPr>
              <w:jc w:val="center"/>
            </w:pPr>
            <w:r>
              <w:rPr>
                <w:rFonts w:ascii="Times New Roman" w:hAnsi="Times New Roman"/>
                <w:b/>
                <w:sz w:val="20"/>
              </w:rPr>
              <w:t>κ</w:t>
            </w:r>
          </w:p>
        </w:tc>
      </w:tr>
      <w:tr>
        <w:tc>
          <w:tcPr>
            <w:tcW w:type="dxa" w:w="1500"/>
          </w:tcPr>
          <w:p>
            <w:pPr>
              <w:jc w:val="center"/>
            </w:pPr>
            <w:r>
              <w:rPr>
                <w:rFonts w:ascii="Times New Roman" w:hAnsi="Times New Roman"/>
                <w:sz w:val="20"/>
              </w:rPr>
              <w:t>High-precision (FPR ≤ 5 %)</w:t>
            </w:r>
          </w:p>
        </w:tc>
        <w:tc>
          <w:tcPr>
            <w:tcW w:type="dxa" w:w="1500"/>
          </w:tcPr>
          <w:p>
            <w:pPr>
              <w:jc w:val="center"/>
            </w:pPr>
            <w:r>
              <w:rPr>
                <w:rFonts w:ascii="Times New Roman" w:hAnsi="Times New Roman"/>
                <w:sz w:val="20"/>
              </w:rPr>
              <w:t>0.523</w:t>
            </w:r>
          </w:p>
        </w:tc>
        <w:tc>
          <w:tcPr>
            <w:tcW w:type="dxa" w:w="1500"/>
          </w:tcPr>
          <w:p>
            <w:pPr>
              <w:jc w:val="center"/>
            </w:pPr>
            <w:r>
              <w:rPr>
                <w:rFonts w:ascii="Times New Roman" w:hAnsi="Times New Roman"/>
                <w:sz w:val="20"/>
              </w:rPr>
              <w:t>0.613</w:t>
            </w:r>
          </w:p>
        </w:tc>
        <w:tc>
          <w:tcPr>
            <w:tcW w:type="dxa" w:w="1500"/>
          </w:tcPr>
          <w:p>
            <w:pPr>
              <w:jc w:val="center"/>
            </w:pPr>
            <w:r>
              <w:rPr>
                <w:rFonts w:ascii="Times New Roman" w:hAnsi="Times New Roman"/>
                <w:sz w:val="20"/>
              </w:rPr>
              <w:t>0.050</w:t>
            </w:r>
          </w:p>
        </w:tc>
        <w:tc>
          <w:tcPr>
            <w:tcW w:type="dxa" w:w="1500"/>
          </w:tcPr>
          <w:p>
            <w:pPr>
              <w:jc w:val="center"/>
            </w:pPr>
            <w:r>
              <w:rPr>
                <w:rFonts w:ascii="Times New Roman" w:hAnsi="Times New Roman"/>
                <w:sz w:val="20"/>
              </w:rPr>
              <w:t>77.48</w:t>
            </w:r>
          </w:p>
        </w:tc>
        <w:tc>
          <w:tcPr>
            <w:tcW w:type="dxa" w:w="1500"/>
          </w:tcPr>
          <w:p>
            <w:pPr>
              <w:jc w:val="center"/>
            </w:pPr>
            <w:r>
              <w:rPr>
                <w:rFonts w:ascii="Times New Roman" w:hAnsi="Times New Roman"/>
                <w:sz w:val="20"/>
              </w:rPr>
              <w:t>+0.563</w:t>
            </w:r>
          </w:p>
        </w:tc>
      </w:tr>
      <w:tr>
        <w:tc>
          <w:tcPr>
            <w:tcW w:type="dxa" w:w="1500"/>
          </w:tcPr>
          <w:p>
            <w:pPr>
              <w:jc w:val="center"/>
            </w:pPr>
            <w:r>
              <w:rPr>
                <w:rFonts w:ascii="Times New Roman" w:hAnsi="Times New Roman"/>
                <w:sz w:val="20"/>
              </w:rPr>
              <w:t>Balanced       (FPR ≤ 10 %)</w:t>
            </w:r>
          </w:p>
        </w:tc>
        <w:tc>
          <w:tcPr>
            <w:tcW w:type="dxa" w:w="1500"/>
          </w:tcPr>
          <w:p>
            <w:pPr>
              <w:jc w:val="center"/>
            </w:pPr>
            <w:r>
              <w:rPr>
                <w:rFonts w:ascii="Times New Roman" w:hAnsi="Times New Roman"/>
                <w:sz w:val="20"/>
              </w:rPr>
              <w:t>0.510</w:t>
            </w:r>
          </w:p>
        </w:tc>
        <w:tc>
          <w:tcPr>
            <w:tcW w:type="dxa" w:w="1500"/>
          </w:tcPr>
          <w:p>
            <w:pPr>
              <w:jc w:val="center"/>
            </w:pPr>
            <w:r>
              <w:rPr>
                <w:rFonts w:ascii="Times New Roman" w:hAnsi="Times New Roman"/>
                <w:sz w:val="20"/>
              </w:rPr>
              <w:t>0.654</w:t>
            </w:r>
          </w:p>
        </w:tc>
        <w:tc>
          <w:tcPr>
            <w:tcW w:type="dxa" w:w="1500"/>
          </w:tcPr>
          <w:p>
            <w:pPr>
              <w:jc w:val="center"/>
            </w:pPr>
            <w:r>
              <w:rPr>
                <w:rFonts w:ascii="Times New Roman" w:hAnsi="Times New Roman"/>
                <w:sz w:val="20"/>
              </w:rPr>
              <w:t>0.100</w:t>
            </w:r>
          </w:p>
        </w:tc>
        <w:tc>
          <w:tcPr>
            <w:tcW w:type="dxa" w:w="1500"/>
          </w:tcPr>
          <w:p>
            <w:pPr>
              <w:jc w:val="center"/>
            </w:pPr>
            <w:r>
              <w:rPr>
                <w:rFonts w:ascii="Times New Roman" w:hAnsi="Times New Roman"/>
                <w:sz w:val="20"/>
              </w:rPr>
              <w:t>77.32</w:t>
            </w:r>
          </w:p>
        </w:tc>
        <w:tc>
          <w:tcPr>
            <w:tcW w:type="dxa" w:w="1500"/>
          </w:tcPr>
          <w:p>
            <w:pPr>
              <w:jc w:val="center"/>
            </w:pPr>
            <w:r>
              <w:rPr>
                <w:rFonts w:ascii="Times New Roman" w:hAnsi="Times New Roman"/>
                <w:sz w:val="20"/>
              </w:rPr>
              <w:t>+0.553</w:t>
            </w:r>
          </w:p>
        </w:tc>
      </w:tr>
      <w:tr>
        <w:tc>
          <w:tcPr>
            <w:tcW w:type="dxa" w:w="1500"/>
          </w:tcPr>
          <w:p>
            <w:pPr>
              <w:jc w:val="center"/>
            </w:pPr>
            <w:r>
              <w:rPr>
                <w:rFonts w:ascii="Times New Roman" w:hAnsi="Times New Roman"/>
                <w:sz w:val="20"/>
              </w:rPr>
              <w:t>High-recall    (FPR ≤ 20 %)</w:t>
            </w:r>
          </w:p>
        </w:tc>
        <w:tc>
          <w:tcPr>
            <w:tcW w:type="dxa" w:w="1500"/>
          </w:tcPr>
          <w:p>
            <w:pPr>
              <w:jc w:val="center"/>
            </w:pPr>
            <w:r>
              <w:rPr>
                <w:rFonts w:ascii="Times New Roman" w:hAnsi="Times New Roman"/>
                <w:sz w:val="20"/>
              </w:rPr>
              <w:t>0.492</w:t>
            </w:r>
          </w:p>
        </w:tc>
        <w:tc>
          <w:tcPr>
            <w:tcW w:type="dxa" w:w="1500"/>
          </w:tcPr>
          <w:p>
            <w:pPr>
              <w:jc w:val="center"/>
            </w:pPr>
            <w:r>
              <w:rPr>
                <w:rFonts w:ascii="Times New Roman" w:hAnsi="Times New Roman"/>
                <w:sz w:val="20"/>
              </w:rPr>
              <w:t>0.714</w:t>
            </w:r>
          </w:p>
        </w:tc>
        <w:tc>
          <w:tcPr>
            <w:tcW w:type="dxa" w:w="1500"/>
          </w:tcPr>
          <w:p>
            <w:pPr>
              <w:jc w:val="center"/>
            </w:pPr>
            <w:r>
              <w:rPr>
                <w:rFonts w:ascii="Times New Roman" w:hAnsi="Times New Roman"/>
                <w:sz w:val="20"/>
              </w:rPr>
              <w:t>0.200</w:t>
            </w:r>
          </w:p>
        </w:tc>
        <w:tc>
          <w:tcPr>
            <w:tcW w:type="dxa" w:w="1500"/>
          </w:tcPr>
          <w:p>
            <w:pPr>
              <w:jc w:val="center"/>
            </w:pPr>
            <w:r>
              <w:rPr>
                <w:rFonts w:ascii="Times New Roman" w:hAnsi="Times New Roman"/>
                <w:sz w:val="20"/>
              </w:rPr>
              <w:t>75.68</w:t>
            </w:r>
          </w:p>
        </w:tc>
        <w:tc>
          <w:tcPr>
            <w:tcW w:type="dxa" w:w="1500"/>
          </w:tcPr>
          <w:p>
            <w:pPr>
              <w:jc w:val="center"/>
            </w:pPr>
            <w:r>
              <w:rPr>
                <w:rFonts w:ascii="Times New Roman" w:hAnsi="Times New Roman"/>
                <w:sz w:val="20"/>
              </w:rPr>
              <w:t>+0.514</w:t>
            </w:r>
          </w:p>
        </w:tc>
      </w:tr>
      <w:tr>
        <w:tc>
          <w:tcPr>
            <w:tcW w:type="dxa" w:w="1500"/>
          </w:tcPr>
          <w:p>
            <w:pPr>
              <w:jc w:val="center"/>
            </w:pPr>
            <w:r>
              <w:rPr>
                <w:rFonts w:ascii="Times New Roman" w:hAnsi="Times New Roman"/>
                <w:sz w:val="20"/>
              </w:rPr>
              <w:t>F1-max</w:t>
            </w:r>
          </w:p>
        </w:tc>
        <w:tc>
          <w:tcPr>
            <w:tcW w:type="dxa" w:w="1500"/>
          </w:tcPr>
          <w:p>
            <w:pPr>
              <w:jc w:val="center"/>
            </w:pPr>
            <w:r>
              <w:rPr>
                <w:rFonts w:ascii="Times New Roman" w:hAnsi="Times New Roman"/>
                <w:sz w:val="20"/>
              </w:rPr>
              <w:t>0.523</w:t>
            </w:r>
          </w:p>
        </w:tc>
        <w:tc>
          <w:tcPr>
            <w:tcW w:type="dxa" w:w="1500"/>
          </w:tcPr>
          <w:p>
            <w:pPr>
              <w:jc w:val="center"/>
            </w:pPr>
            <w:r>
              <w:rPr>
                <w:rFonts w:ascii="Times New Roman" w:hAnsi="Times New Roman"/>
                <w:sz w:val="20"/>
              </w:rPr>
              <w:t>0.613</w:t>
            </w:r>
          </w:p>
        </w:tc>
        <w:tc>
          <w:tcPr>
            <w:tcW w:type="dxa" w:w="1500"/>
          </w:tcPr>
          <w:p>
            <w:pPr>
              <w:jc w:val="center"/>
            </w:pPr>
            <w:r>
              <w:rPr>
                <w:rFonts w:ascii="Times New Roman" w:hAnsi="Times New Roman"/>
                <w:sz w:val="20"/>
              </w:rPr>
              <w:t>0.049</w:t>
            </w:r>
          </w:p>
        </w:tc>
        <w:tc>
          <w:tcPr>
            <w:tcW w:type="dxa" w:w="1500"/>
          </w:tcPr>
          <w:p>
            <w:pPr>
              <w:jc w:val="center"/>
            </w:pPr>
            <w:r>
              <w:rPr>
                <w:rFonts w:ascii="Times New Roman" w:hAnsi="Times New Roman"/>
                <w:sz w:val="20"/>
              </w:rPr>
              <w:t>77.50</w:t>
            </w:r>
          </w:p>
        </w:tc>
        <w:tc>
          <w:tcPr>
            <w:tcW w:type="dxa" w:w="1500"/>
          </w:tcPr>
          <w:p>
            <w:pPr>
              <w:jc w:val="center"/>
            </w:pPr>
            <w:r>
              <w:rPr>
                <w:rFonts w:ascii="Times New Roman" w:hAnsi="Times New Roman"/>
                <w:sz w:val="20"/>
              </w:rPr>
              <w:t>+0.563</w:t>
            </w:r>
          </w:p>
        </w:tc>
      </w:tr>
      <w:tr>
        <w:tc>
          <w:tcPr>
            <w:tcW w:type="dxa" w:w="1500"/>
          </w:tcPr>
          <w:p>
            <w:pPr>
              <w:jc w:val="center"/>
            </w:pPr>
            <w:r>
              <w:rPr>
                <w:rFonts w:ascii="Times New Roman" w:hAnsi="Times New Roman"/>
                <w:sz w:val="20"/>
              </w:rPr>
              <w:t>Default (0.5)</w:t>
            </w:r>
          </w:p>
        </w:tc>
        <w:tc>
          <w:tcPr>
            <w:tcW w:type="dxa" w:w="1500"/>
          </w:tcPr>
          <w:p>
            <w:pPr>
              <w:jc w:val="center"/>
            </w:pPr>
            <w:r>
              <w:rPr>
                <w:rFonts w:ascii="Times New Roman" w:hAnsi="Times New Roman"/>
                <w:sz w:val="20"/>
              </w:rPr>
              <w:t>0.500</w:t>
            </w:r>
          </w:p>
        </w:tc>
        <w:tc>
          <w:tcPr>
            <w:tcW w:type="dxa" w:w="1500"/>
          </w:tcPr>
          <w:p>
            <w:pPr>
              <w:jc w:val="center"/>
            </w:pPr>
            <w:r>
              <w:rPr>
                <w:rFonts w:ascii="Times New Roman" w:hAnsi="Times New Roman"/>
                <w:sz w:val="20"/>
              </w:rPr>
              <w:t>0.694</w:t>
            </w:r>
          </w:p>
        </w:tc>
        <w:tc>
          <w:tcPr>
            <w:tcW w:type="dxa" w:w="1500"/>
          </w:tcPr>
          <w:p>
            <w:pPr>
              <w:jc w:val="center"/>
            </w:pPr>
            <w:r>
              <w:rPr>
                <w:rFonts w:ascii="Times New Roman" w:hAnsi="Times New Roman"/>
                <w:sz w:val="20"/>
              </w:rPr>
              <w:t>0.155</w:t>
            </w:r>
          </w:p>
        </w:tc>
        <w:tc>
          <w:tcPr>
            <w:tcW w:type="dxa" w:w="1500"/>
          </w:tcPr>
          <w:p>
            <w:pPr>
              <w:jc w:val="center"/>
            </w:pPr>
            <w:r>
              <w:rPr>
                <w:rFonts w:ascii="Times New Roman" w:hAnsi="Times New Roman"/>
                <w:sz w:val="20"/>
              </w:rPr>
              <w:t>76.79</w:t>
            </w:r>
          </w:p>
        </w:tc>
        <w:tc>
          <w:tcPr>
            <w:tcW w:type="dxa" w:w="1500"/>
          </w:tcPr>
          <w:p>
            <w:pPr>
              <w:jc w:val="center"/>
            </w:pPr>
            <w:r>
              <w:rPr>
                <w:rFonts w:ascii="Times New Roman" w:hAnsi="Times New Roman"/>
                <w:sz w:val="20"/>
              </w:rPr>
              <w:t>+0.539</w:t>
            </w:r>
          </w:p>
        </w:tc>
      </w:tr>
    </w:tbl>
    <w:p/>
    <w:p>
      <w:pPr>
        <w:spacing w:before="120"/>
        <w:jc w:val="center"/>
      </w:pPr>
      <w:r>
        <w:rPr>
          <w:i/>
          <w:color w:val="808080"/>
          <w:sz w:val="22"/>
        </w:rPr>
        <w:br/>
        <w:t>[SCREENSHOT PLACEHOLDER: Figure 5.4 — Monitoring-track ROC for v17 smoothed posterior with 3 operating points highlighted.]</w:t>
        <w:br/>
      </w:r>
    </w:p>
    <w:p>
      <w:pPr>
        <w:spacing w:after="240"/>
        <w:jc w:val="center"/>
      </w:pPr>
      <w:r>
        <w:rPr>
          <w:b/>
          <w:sz w:val="20"/>
        </w:rPr>
        <w:t>Figure 5.4: Monitoring-track ROC for the v17 causal EMA smoother with the high-precision, balanced, and high-recall operating points marked.</w:t>
      </w:r>
    </w:p>
    <w:p>
      <w:pPr>
        <w:spacing w:before="280" w:after="160"/>
        <w:jc w:val="left"/>
      </w:pPr>
      <w:r>
        <w:rPr>
          <w:rFonts w:ascii="Times New Roman" w:hAnsi="Times New Roman"/>
          <w:b/>
          <w:sz w:val="26"/>
        </w:rPr>
        <w:t>5.2  Cross-Dataset Generalisation and the 31-Subject Pooled LOSO</w:t>
      </w:r>
    </w:p>
    <w:p>
      <w:pPr>
        <w:spacing w:line="360" w:lineRule="auto"/>
        <w:jc w:val="both"/>
      </w:pPr>
      <w:r>
        <w:rPr>
          <w:rFonts w:ascii="Times New Roman" w:hAnsi="Times New Roman"/>
          <w:sz w:val="24"/>
        </w:rPr>
        <w:t>Cross-dataset evaluation is the strongest test of feature portability and the clearest answer to the question of whether the lean 10-feature set captures a genuine neurophysiological signature or a DROZY-specific artifact. The v11 lean LDA is evaluated under three protocols of increasing severity: DROZY-internal LOSO (the Table 5.1 headline), DROZY-trained → SEED-VIG test without any fine-tuning, and SEED-VIG-internal LOSO across its 21 valid subjects (after PERCLOS &lt; 0.35 → awake, &gt; 0.70 → drowsy thresholding; n = 9,155 labelled epochs). A fourth, stricter protocol pools DROZY ∪ SEED-VIG into a single 31-subject corpus and runs LOSO across the union. Per-subject z-score uses the first 60 seconds of each session as the awake calibration, mirroring the DROZY protocol across both datasets.</w:t>
      </w:r>
    </w:p>
    <w:p>
      <w:pPr>
        <w:spacing w:before="240"/>
        <w:jc w:val="center"/>
      </w:pPr>
      <w:r>
        <w:rPr>
          <w:rFonts w:ascii="Times New Roman" w:hAnsi="Times New Roman"/>
          <w:b/>
          <w:sz w:val="20"/>
        </w:rPr>
        <w:t>Table 5.6: Cross-dataset and pooled LOSO evaluation of the v11 lean LDA pipeline.</w:t>
      </w:r>
    </w:p>
    <w:tbl>
      <w:tblPr>
        <w:tblStyle w:val="TableGrid"/>
        <w:tblW w:type="auto" w:w="0"/>
        <w:jc w:val="center"/>
        <w:tblLook w:firstColumn="1" w:firstRow="1" w:lastColumn="0" w:lastRow="0" w:noHBand="0" w:noVBand="1" w:val="04A0"/>
      </w:tblPr>
      <w:tblGrid>
        <w:gridCol w:w="1286"/>
        <w:gridCol w:w="1286"/>
        <w:gridCol w:w="1286"/>
        <w:gridCol w:w="1286"/>
        <w:gridCol w:w="1286"/>
        <w:gridCol w:w="1286"/>
        <w:gridCol w:w="1286"/>
      </w:tblGrid>
      <w:tr>
        <w:tc>
          <w:tcPr>
            <w:tcW w:type="dxa" w:w="1286"/>
          </w:tcPr>
          <w:p>
            <w:pPr>
              <w:jc w:val="center"/>
            </w:pPr>
            <w:r>
              <w:rPr>
                <w:rFonts w:ascii="Times New Roman" w:hAnsi="Times New Roman"/>
                <w:b/>
                <w:sz w:val="20"/>
              </w:rPr>
              <w:t>Evaluation</w:t>
            </w:r>
          </w:p>
        </w:tc>
        <w:tc>
          <w:tcPr>
            <w:tcW w:type="dxa" w:w="1286"/>
          </w:tcPr>
          <w:p>
            <w:pPr>
              <w:jc w:val="center"/>
            </w:pPr>
            <w:r>
              <w:rPr>
                <w:rFonts w:ascii="Times New Roman" w:hAnsi="Times New Roman"/>
                <w:b/>
                <w:sz w:val="20"/>
              </w:rPr>
              <w:t>n subjects</w:t>
            </w:r>
          </w:p>
        </w:tc>
        <w:tc>
          <w:tcPr>
            <w:tcW w:type="dxa" w:w="1286"/>
          </w:tcPr>
          <w:p>
            <w:pPr>
              <w:jc w:val="center"/>
            </w:pPr>
            <w:r>
              <w:rPr>
                <w:rFonts w:ascii="Times New Roman" w:hAnsi="Times New Roman"/>
                <w:b/>
                <w:sz w:val="20"/>
              </w:rPr>
              <w:t>n epochs</w:t>
            </w:r>
          </w:p>
        </w:tc>
        <w:tc>
          <w:tcPr>
            <w:tcW w:type="dxa" w:w="1286"/>
          </w:tcPr>
          <w:p>
            <w:pPr>
              <w:jc w:val="center"/>
            </w:pPr>
            <w:r>
              <w:rPr>
                <w:rFonts w:ascii="Times New Roman" w:hAnsi="Times New Roman"/>
                <w:b/>
                <w:sz w:val="20"/>
              </w:rPr>
              <w:t>F1 concat (%)</w:t>
            </w:r>
          </w:p>
        </w:tc>
        <w:tc>
          <w:tcPr>
            <w:tcW w:type="dxa" w:w="1286"/>
          </w:tcPr>
          <w:p>
            <w:pPr>
              <w:jc w:val="center"/>
            </w:pPr>
            <w:r>
              <w:rPr>
                <w:rFonts w:ascii="Times New Roman" w:hAnsi="Times New Roman"/>
                <w:b/>
                <w:sz w:val="20"/>
              </w:rPr>
              <w:t>F1 per-subj (%)</w:t>
            </w:r>
          </w:p>
        </w:tc>
        <w:tc>
          <w:tcPr>
            <w:tcW w:type="dxa" w:w="1286"/>
          </w:tcPr>
          <w:p>
            <w:pPr>
              <w:jc w:val="center"/>
            </w:pPr>
            <w:r>
              <w:rPr>
                <w:rFonts w:ascii="Times New Roman" w:hAnsi="Times New Roman"/>
                <w:b/>
                <w:sz w:val="20"/>
              </w:rPr>
              <w:t>AUC (%)</w:t>
            </w:r>
          </w:p>
        </w:tc>
        <w:tc>
          <w:tcPr>
            <w:tcW w:type="dxa" w:w="1286"/>
          </w:tcPr>
          <w:p>
            <w:pPr>
              <w:jc w:val="center"/>
            </w:pPr>
            <w:r>
              <w:rPr>
                <w:rFonts w:ascii="Times New Roman" w:hAnsi="Times New Roman"/>
                <w:b/>
                <w:sz w:val="20"/>
              </w:rPr>
              <w:t>κ</w:t>
            </w:r>
          </w:p>
        </w:tc>
      </w:tr>
      <w:tr>
        <w:tc>
          <w:tcPr>
            <w:tcW w:type="dxa" w:w="1286"/>
          </w:tcPr>
          <w:p>
            <w:pPr>
              <w:jc w:val="center"/>
            </w:pPr>
            <w:r>
              <w:rPr>
                <w:rFonts w:ascii="Times New Roman" w:hAnsi="Times New Roman"/>
                <w:sz w:val="20"/>
              </w:rPr>
              <w:t>DROZY internal LOSO (v11 lean)</w:t>
            </w:r>
          </w:p>
        </w:tc>
        <w:tc>
          <w:tcPr>
            <w:tcW w:type="dxa" w:w="1286"/>
          </w:tcPr>
          <w:p>
            <w:pPr>
              <w:jc w:val="center"/>
            </w:pPr>
            <w:r>
              <w:rPr>
                <w:rFonts w:ascii="Times New Roman" w:hAnsi="Times New Roman"/>
                <w:sz w:val="20"/>
              </w:rPr>
              <w:t>10</w:t>
            </w:r>
          </w:p>
        </w:tc>
        <w:tc>
          <w:tcPr>
            <w:tcW w:type="dxa" w:w="1286"/>
          </w:tcPr>
          <w:p>
            <w:pPr>
              <w:jc w:val="center"/>
            </w:pPr>
            <w:r>
              <w:rPr>
                <w:rFonts w:ascii="Times New Roman" w:hAnsi="Times New Roman"/>
                <w:sz w:val="20"/>
              </w:rPr>
              <w:t>14,498</w:t>
            </w:r>
          </w:p>
        </w:tc>
        <w:tc>
          <w:tcPr>
            <w:tcW w:type="dxa" w:w="1286"/>
          </w:tcPr>
          <w:p>
            <w:pPr>
              <w:jc w:val="center"/>
            </w:pPr>
            <w:r>
              <w:rPr>
                <w:rFonts w:ascii="Times New Roman" w:hAnsi="Times New Roman"/>
                <w:sz w:val="20"/>
              </w:rPr>
              <w:t>62.08</w:t>
            </w:r>
          </w:p>
        </w:tc>
        <w:tc>
          <w:tcPr>
            <w:tcW w:type="dxa" w:w="1286"/>
          </w:tcPr>
          <w:p>
            <w:pPr>
              <w:jc w:val="center"/>
            </w:pPr>
            <w:r>
              <w:rPr>
                <w:rFonts w:ascii="Times New Roman" w:hAnsi="Times New Roman"/>
                <w:sz w:val="20"/>
              </w:rPr>
              <w:t>60.82 ± 14.6</w:t>
            </w:r>
          </w:p>
        </w:tc>
        <w:tc>
          <w:tcPr>
            <w:tcW w:type="dxa" w:w="1286"/>
          </w:tcPr>
          <w:p>
            <w:pPr>
              <w:jc w:val="center"/>
            </w:pPr>
            <w:r>
              <w:rPr>
                <w:rFonts w:ascii="Times New Roman" w:hAnsi="Times New Roman"/>
                <w:sz w:val="20"/>
              </w:rPr>
              <w:t>64.55</w:t>
            </w:r>
          </w:p>
        </w:tc>
        <w:tc>
          <w:tcPr>
            <w:tcW w:type="dxa" w:w="1286"/>
          </w:tcPr>
          <w:p>
            <w:pPr>
              <w:jc w:val="center"/>
            </w:pPr>
            <w:r>
              <w:rPr>
                <w:rFonts w:ascii="Times New Roman" w:hAnsi="Times New Roman"/>
                <w:sz w:val="20"/>
              </w:rPr>
              <w:t>0.242</w:t>
            </w:r>
          </w:p>
        </w:tc>
      </w:tr>
      <w:tr>
        <w:tc>
          <w:tcPr>
            <w:tcW w:type="dxa" w:w="1286"/>
          </w:tcPr>
          <w:p>
            <w:pPr>
              <w:jc w:val="center"/>
            </w:pPr>
            <w:r>
              <w:rPr>
                <w:rFonts w:ascii="Times New Roman" w:hAnsi="Times New Roman"/>
                <w:sz w:val="20"/>
              </w:rPr>
              <w:t>DROZY → SEED-VIG transfer (no fine-tune)</w:t>
            </w:r>
          </w:p>
        </w:tc>
        <w:tc>
          <w:tcPr>
            <w:tcW w:type="dxa" w:w="1286"/>
          </w:tcPr>
          <w:p>
            <w:pPr>
              <w:jc w:val="center"/>
            </w:pPr>
            <w:r>
              <w:rPr>
                <w:rFonts w:ascii="Times New Roman" w:hAnsi="Times New Roman"/>
                <w:sz w:val="20"/>
              </w:rPr>
              <w:t>21</w:t>
            </w:r>
          </w:p>
        </w:tc>
        <w:tc>
          <w:tcPr>
            <w:tcW w:type="dxa" w:w="1286"/>
          </w:tcPr>
          <w:p>
            <w:pPr>
              <w:jc w:val="center"/>
            </w:pPr>
            <w:r>
              <w:rPr>
                <w:rFonts w:ascii="Times New Roman" w:hAnsi="Times New Roman"/>
                <w:sz w:val="20"/>
              </w:rPr>
              <w:t>9,155</w:t>
            </w:r>
          </w:p>
        </w:tc>
        <w:tc>
          <w:tcPr>
            <w:tcW w:type="dxa" w:w="1286"/>
          </w:tcPr>
          <w:p>
            <w:pPr>
              <w:jc w:val="center"/>
            </w:pPr>
            <w:r>
              <w:rPr>
                <w:rFonts w:ascii="Times New Roman" w:hAnsi="Times New Roman"/>
                <w:sz w:val="20"/>
              </w:rPr>
              <w:t>64.93</w:t>
            </w:r>
          </w:p>
        </w:tc>
        <w:tc>
          <w:tcPr>
            <w:tcW w:type="dxa" w:w="1286"/>
          </w:tcPr>
          <w:p>
            <w:pPr>
              <w:jc w:val="center"/>
            </w:pPr>
            <w:r>
              <w:rPr>
                <w:rFonts w:ascii="Times New Roman" w:hAnsi="Times New Roman"/>
                <w:sz w:val="20"/>
              </w:rPr>
              <w:t>—</w:t>
            </w:r>
          </w:p>
        </w:tc>
        <w:tc>
          <w:tcPr>
            <w:tcW w:type="dxa" w:w="1286"/>
          </w:tcPr>
          <w:p>
            <w:pPr>
              <w:jc w:val="center"/>
            </w:pPr>
            <w:r>
              <w:rPr>
                <w:rFonts w:ascii="Times New Roman" w:hAnsi="Times New Roman"/>
                <w:sz w:val="20"/>
              </w:rPr>
              <w:t>73.15</w:t>
            </w:r>
          </w:p>
        </w:tc>
        <w:tc>
          <w:tcPr>
            <w:tcW w:type="dxa" w:w="1286"/>
          </w:tcPr>
          <w:p>
            <w:pPr>
              <w:jc w:val="center"/>
            </w:pPr>
            <w:r>
              <w:rPr>
                <w:rFonts w:ascii="Times New Roman" w:hAnsi="Times New Roman"/>
                <w:sz w:val="20"/>
              </w:rPr>
              <w:t>0.293</w:t>
            </w:r>
          </w:p>
        </w:tc>
      </w:tr>
      <w:tr>
        <w:tc>
          <w:tcPr>
            <w:tcW w:type="dxa" w:w="1286"/>
          </w:tcPr>
          <w:p>
            <w:pPr>
              <w:jc w:val="center"/>
            </w:pPr>
            <w:r>
              <w:rPr>
                <w:rFonts w:ascii="Times New Roman" w:hAnsi="Times New Roman"/>
                <w:sz w:val="20"/>
              </w:rPr>
              <w:t>SEED-VIG internal LOSO (v11 lean)</w:t>
            </w:r>
          </w:p>
        </w:tc>
        <w:tc>
          <w:tcPr>
            <w:tcW w:type="dxa" w:w="1286"/>
          </w:tcPr>
          <w:p>
            <w:pPr>
              <w:jc w:val="center"/>
            </w:pPr>
            <w:r>
              <w:rPr>
                <w:rFonts w:ascii="Times New Roman" w:hAnsi="Times New Roman"/>
                <w:sz w:val="20"/>
              </w:rPr>
              <w:t>21</w:t>
            </w:r>
          </w:p>
        </w:tc>
        <w:tc>
          <w:tcPr>
            <w:tcW w:type="dxa" w:w="1286"/>
          </w:tcPr>
          <w:p>
            <w:pPr>
              <w:jc w:val="center"/>
            </w:pPr>
            <w:r>
              <w:rPr>
                <w:rFonts w:ascii="Times New Roman" w:hAnsi="Times New Roman"/>
                <w:sz w:val="20"/>
              </w:rPr>
              <w:t>9,155</w:t>
            </w:r>
          </w:p>
        </w:tc>
        <w:tc>
          <w:tcPr>
            <w:tcW w:type="dxa" w:w="1286"/>
          </w:tcPr>
          <w:p>
            <w:pPr>
              <w:jc w:val="center"/>
            </w:pPr>
            <w:r>
              <w:rPr>
                <w:rFonts w:ascii="Times New Roman" w:hAnsi="Times New Roman"/>
                <w:sz w:val="20"/>
              </w:rPr>
              <w:t>71.25</w:t>
            </w:r>
          </w:p>
        </w:tc>
        <w:tc>
          <w:tcPr>
            <w:tcW w:type="dxa" w:w="1286"/>
          </w:tcPr>
          <w:p>
            <w:pPr>
              <w:jc w:val="center"/>
            </w:pPr>
            <w:r>
              <w:rPr>
                <w:rFonts w:ascii="Times New Roman" w:hAnsi="Times New Roman"/>
                <w:sz w:val="20"/>
              </w:rPr>
              <w:t>—</w:t>
            </w:r>
          </w:p>
        </w:tc>
        <w:tc>
          <w:tcPr>
            <w:tcW w:type="dxa" w:w="1286"/>
          </w:tcPr>
          <w:p>
            <w:pPr>
              <w:jc w:val="center"/>
            </w:pPr>
            <w:r>
              <w:rPr>
                <w:rFonts w:ascii="Times New Roman" w:hAnsi="Times New Roman"/>
                <w:sz w:val="20"/>
              </w:rPr>
              <w:t>70.98</w:t>
            </w:r>
          </w:p>
        </w:tc>
        <w:tc>
          <w:tcPr>
            <w:tcW w:type="dxa" w:w="1286"/>
          </w:tcPr>
          <w:p>
            <w:pPr>
              <w:jc w:val="center"/>
            </w:pPr>
            <w:r>
              <w:rPr>
                <w:rFonts w:ascii="Times New Roman" w:hAnsi="Times New Roman"/>
                <w:sz w:val="20"/>
              </w:rPr>
              <w:t>0.337</w:t>
            </w:r>
          </w:p>
        </w:tc>
      </w:tr>
      <w:tr>
        <w:tc>
          <w:tcPr>
            <w:tcW w:type="dxa" w:w="1286"/>
          </w:tcPr>
          <w:p>
            <w:pPr>
              <w:jc w:val="center"/>
            </w:pPr>
            <w:r>
              <w:rPr>
                <w:rFonts w:ascii="Times New Roman" w:hAnsi="Times New Roman"/>
                <w:sz w:val="20"/>
              </w:rPr>
              <w:t>Pooled DROZY+SEED-VIG 31-subj LOSO (v16) ← strongest generalisation</w:t>
            </w:r>
          </w:p>
        </w:tc>
        <w:tc>
          <w:tcPr>
            <w:tcW w:type="dxa" w:w="1286"/>
          </w:tcPr>
          <w:p>
            <w:pPr>
              <w:jc w:val="center"/>
            </w:pPr>
            <w:r>
              <w:rPr>
                <w:rFonts w:ascii="Times New Roman" w:hAnsi="Times New Roman"/>
                <w:sz w:val="20"/>
              </w:rPr>
              <w:t>31</w:t>
            </w:r>
          </w:p>
        </w:tc>
        <w:tc>
          <w:tcPr>
            <w:tcW w:type="dxa" w:w="1286"/>
          </w:tcPr>
          <w:p>
            <w:pPr>
              <w:jc w:val="center"/>
            </w:pPr>
            <w:r>
              <w:rPr>
                <w:rFonts w:ascii="Times New Roman" w:hAnsi="Times New Roman"/>
                <w:sz w:val="20"/>
              </w:rPr>
              <w:t>23,653</w:t>
            </w:r>
          </w:p>
        </w:tc>
        <w:tc>
          <w:tcPr>
            <w:tcW w:type="dxa" w:w="1286"/>
          </w:tcPr>
          <w:p>
            <w:pPr>
              <w:jc w:val="center"/>
            </w:pPr>
            <w:r>
              <w:rPr>
                <w:rFonts w:ascii="Times New Roman" w:hAnsi="Times New Roman"/>
                <w:sz w:val="20"/>
              </w:rPr>
              <w:t>66.13</w:t>
            </w:r>
          </w:p>
        </w:tc>
        <w:tc>
          <w:tcPr>
            <w:tcW w:type="dxa" w:w="1286"/>
          </w:tcPr>
          <w:p>
            <w:pPr>
              <w:jc w:val="center"/>
            </w:pPr>
            <w:r>
              <w:rPr>
                <w:rFonts w:ascii="Times New Roman" w:hAnsi="Times New Roman"/>
                <w:sz w:val="20"/>
              </w:rPr>
              <w:t>71.92 ± 17.2</w:t>
            </w:r>
          </w:p>
        </w:tc>
        <w:tc>
          <w:tcPr>
            <w:tcW w:type="dxa" w:w="1286"/>
          </w:tcPr>
          <w:p>
            <w:pPr>
              <w:jc w:val="center"/>
            </w:pPr>
            <w:r>
              <w:rPr>
                <w:rFonts w:ascii="Times New Roman" w:hAnsi="Times New Roman"/>
                <w:sz w:val="20"/>
              </w:rPr>
              <w:t>72.05</w:t>
            </w:r>
          </w:p>
        </w:tc>
        <w:tc>
          <w:tcPr>
            <w:tcW w:type="dxa" w:w="1286"/>
          </w:tcPr>
          <w:p>
            <w:pPr>
              <w:jc w:val="center"/>
            </w:pPr>
            <w:r>
              <w:rPr>
                <w:rFonts w:ascii="Times New Roman" w:hAnsi="Times New Roman"/>
                <w:sz w:val="20"/>
              </w:rPr>
              <w:t>0.328</w:t>
            </w:r>
          </w:p>
        </w:tc>
      </w:tr>
    </w:tbl>
    <w:p/>
    <w:p>
      <w:pPr>
        <w:spacing w:line="360" w:lineRule="auto"/>
        <w:jc w:val="both"/>
      </w:pPr>
      <w:r>
        <w:rPr>
          <w:rFonts w:ascii="Times New Roman" w:hAnsi="Times New Roman"/>
          <w:sz w:val="24"/>
        </w:rPr>
        <w:t>Four findings matter. First, DROZY → SEED-VIG transfer without fine-tuning achieves F1 = 64.93, actually exceeding DROZY-internal LOSO and providing strong evidence that the ENT+SLOPE+COH feature set captures a dataset-agnostic drowsiness representation. Second, the pooled 31-subject LOSO (v16) achieves concatenated F1 = 66.13 and mean per-subject F1 = 71.92 ± 17.2, which is the strongest generalisation number in this paper — 31 unique subjects across two recording sites and two labelling protocols (session-level binary on DROZY, PERCLOS-threshold on SEED-VIG), with no subject appearing in both train and test folds of any split. Third, per-dataset breakdown of the pool shows DROZY F1 = 57.83 ± 17.4 and SEED-VIG F1 = 78.63 ± 13.9 — the SEED-VIG sessions are intrinsically easier because they provide longer behaviourally-graded recordings rather than binary session IDs. Fourth, per-subject performance on the pool remains heterogeneous (one subject at 98.9 %, one at 13.8 %); median and IQR are therefore reported alongside means throughout.</w:t>
      </w:r>
    </w:p>
    <w:p>
      <w:pPr>
        <w:spacing w:before="120"/>
        <w:jc w:val="center"/>
      </w:pPr>
      <w:r>
        <w:rPr>
          <w:i/>
          <w:color w:val="808080"/>
          <w:sz w:val="22"/>
        </w:rPr>
        <w:br/>
        <w:t>[SCREENSHOT PLACEHOLDER: Figure 5.6 — DROZY LOSO vs DROZY→SEED-VIG transfer vs SEED-VIG LOSO vs pooled 31-subject LOSO.]</w:t>
        <w:br/>
      </w:r>
    </w:p>
    <w:p>
      <w:pPr>
        <w:spacing w:after="240"/>
        <w:jc w:val="center"/>
      </w:pPr>
      <w:r>
        <w:rPr>
          <w:b/>
          <w:sz w:val="20"/>
        </w:rPr>
        <w:t>Figure 5.6: v11 lean LDA performance across four evaluation regimes.</w:t>
      </w:r>
    </w:p>
    <w:p>
      <w:pPr>
        <w:spacing w:before="280" w:after="160"/>
        <w:jc w:val="left"/>
      </w:pPr>
      <w:r>
        <w:rPr>
          <w:rFonts w:ascii="Times New Roman" w:hAnsi="Times New Roman"/>
          <w:b/>
          <w:sz w:val="26"/>
        </w:rPr>
        <w:t>5.3  Negative Ablations: Phase Coherence and Posterior Ensemble</w:t>
      </w:r>
    </w:p>
    <w:p>
      <w:pPr>
        <w:spacing w:line="360" w:lineRule="auto"/>
        <w:jc w:val="both"/>
      </w:pPr>
      <w:r>
        <w:rPr>
          <w:rFonts w:ascii="Times New Roman" w:hAnsi="Times New Roman"/>
          <w:sz w:val="24"/>
        </w:rPr>
        <w:t>Two engineering tracks that might reasonably be expected to improve the lean pipeline were evaluated and found not to help. Reporting these negative results is important because it bounds the optimisation envelope of a 2-channel occipital system and pre-empts reviewer requests to 'try harder' in directions that have already been explored.</w:t>
      </w:r>
    </w:p>
    <w:p>
      <w:pPr>
        <w:spacing w:line="360" w:lineRule="auto"/>
        <w:jc w:val="both"/>
      </w:pPr>
      <w:r>
        <w:rPr>
          <w:rFonts w:ascii="Times New Roman" w:hAnsi="Times New Roman"/>
          <w:sz w:val="24"/>
        </w:rPr>
        <w:t>The first (v18) adds three phase-only coherence variants per band — the phase-locking value (PLV, Lachaux 1999), imaginary coherence (ImCoh, Nolte 2004), and the weighted phase-lag index (wPLI, Vinck 2011) — in theta, alpha, and beta bands, for nine additional features on top of the v11 lean set. Combined 19-feature LOSO LDA gives F1 = 61.84 / AUC = 64.09, against the v11 lean baseline of F1 = 62.08 / AUC = 64.55. Phase-only features in isolation score F1 = 59.72. The interpretation is straightforward: at the 2-channel scale there is exactly one electrode pair, and magnitude-squared coherence already captures the dominant inter-hemispheric synchronisation signal. Phase-only variants discard amplitude information without exposing volume-conduction-free coupling that is not already there. Phase-coherence networks pay off only at ≥ 4-channel layouts where the extra information is in the connectivity graph, not in the single edge.</w:t>
      </w:r>
    </w:p>
    <w:p>
      <w:pPr>
        <w:spacing w:line="360" w:lineRule="auto"/>
        <w:jc w:val="both"/>
      </w:pPr>
      <w:r>
        <w:rPr>
          <w:rFonts w:ascii="Times New Roman" w:hAnsi="Times New Roman"/>
          <w:sz w:val="24"/>
        </w:rPr>
        <w:t>The second (v19) combines three independent posterior estimators in a stacked ensemble: M1 = v11 lean LDA on hand-crafted features, M2 = Riemannian tangent-space + LDA on raw-signal covariances (v7-style, orthogonal to M1's spectral features), M3 = v17 EMA-smoothed M1. Four combiners were evaluated: simple posterior averaging (F1 = 67.83), simplex-weighted grid search (F1 = 76.79 at w = (0, 0, 1) — i.e., the combiner discards M1 and M2 entirely), subject-out stacked LDA over the three posteriors (F1 = 72.09), and stacked LDA with an additional EMA pass on its output (F1 = 73.25). No combiner beats M3 alone. The Riemannian view at 2 channels is too weak — and sufficiently correlated with the spectral features — to add orthogonal information once smoothing dominates. The published pipeline is therefore architecturally honest: lean LDA + causal EMA smoothing is the operating point, and ensemble complexity is not justified at this electrode count.</w:t>
      </w:r>
    </w:p>
    <w:p>
      <w:pPr>
        <w:spacing w:before="280" w:after="160"/>
        <w:jc w:val="left"/>
      </w:pPr>
      <w:r>
        <w:rPr>
          <w:rFonts w:ascii="Times New Roman" w:hAnsi="Times New Roman"/>
          <w:b/>
          <w:sz w:val="26"/>
        </w:rPr>
        <w:t>5.4  Pro-Active Track: Advance Prediction on SEED-VIG</w:t>
      </w:r>
    </w:p>
    <w:p>
      <w:pPr>
        <w:spacing w:line="360" w:lineRule="auto"/>
        <w:jc w:val="both"/>
      </w:pPr>
      <w:r>
        <w:rPr>
          <w:rFonts w:ascii="Times New Roman" w:hAnsi="Times New Roman"/>
          <w:sz w:val="24"/>
        </w:rPr>
        <w:t>The pro-active track measures how early the pipeline flags drowsiness relative to a behavioural camera-based reference. Three protocol choices distinguish the current evaluation from earlier ones in the literature: the threshold is per-driver calibrated (not a global 0.5 posterior cut-off), the evaluation is survival-framed (sessions where EEG flags but PERCLOS never crosses its threshold are counted as censored positive observations, not dropped), and the full Pareto front is reported as a function of tolerated false-positive rate (not a single optimistically-chosen operating point).</w:t>
      </w:r>
    </w:p>
    <w:p>
      <w:pPr>
        <w:spacing w:line="360" w:lineRule="auto"/>
        <w:jc w:val="both"/>
      </w:pPr>
      <w:r>
        <w:rPr>
          <w:rFonts w:ascii="Times New Roman" w:hAnsi="Times New Roman"/>
          <w:sz w:val="24"/>
        </w:rPr>
        <w:t>The evaluation is conducted on SEED-VIG (21 valid subjects; each session has a continuous PERCLOS annotation at 8 s resolution obtained from a reference camera). The v11 lean LDA is trained LOSO across the 21 subjects; for each held-out subject, the per-epoch posterior is causal-EMA-smoothed (τ = 30 s), and the driver-specific alarm threshold is set to the 99th percentile of that subject's smoothed posterior computed over the first 5 minutes of the session. An alert fires on the first 10-second sustained crossing. The behavioural reference onset is the first time the smoothed PERCLOS exceeds 0.70 for 60 s.</w:t>
      </w:r>
    </w:p>
    <w:p>
      <w:pPr>
        <w:spacing w:line="360" w:lineRule="auto"/>
        <w:jc w:val="both"/>
      </w:pPr>
      <w:r>
        <w:rPr>
          <w:rFonts w:ascii="Times New Roman" w:hAnsi="Times New Roman"/>
          <w:sz w:val="24"/>
        </w:rPr>
        <w:t>Table 5.7 reports the full operating envelope across three threshold modes and the default FPR budgets. The recommended deployment operating point is per-subject 99th-percentile of the first 5 min of smoothed p(drowsy), dwell = 10 s, EMA τ = 30 s — which at an epoch-level FPR of 27.6 % (on clearly-awake PERCLOS &lt; 0.35 epochs) and a per-session false-alert rate of 9.5 % delivers proactive_rate = 85.7 % with a median lead of +31.67 minutes.</w:t>
      </w:r>
    </w:p>
    <w:p>
      <w:pPr>
        <w:spacing w:before="240"/>
        <w:jc w:val="center"/>
      </w:pPr>
      <w:r>
        <w:rPr>
          <w:rFonts w:ascii="Times New Roman" w:hAnsi="Times New Roman"/>
          <w:b/>
          <w:sz w:val="20"/>
        </w:rPr>
        <w:t>Table 5.7: Pro-active Pareto front on SEED-VIG (21 subjects). Proactive rate counts censored positives (EEG-only onsets are treated as EEG-first); sens@drowsy is the sensitivity on PERCLOS &gt; 0.70 epochs.</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500"/>
          </w:tcPr>
          <w:p>
            <w:pPr>
              <w:jc w:val="center"/>
            </w:pPr>
            <w:r>
              <w:rPr>
                <w:rFonts w:ascii="Times New Roman" w:hAnsi="Times New Roman"/>
                <w:b/>
                <w:sz w:val="20"/>
              </w:rPr>
              <w:t>FPR budget</w:t>
            </w:r>
          </w:p>
        </w:tc>
        <w:tc>
          <w:tcPr>
            <w:tcW w:type="dxa" w:w="1500"/>
          </w:tcPr>
          <w:p>
            <w:pPr>
              <w:jc w:val="center"/>
            </w:pPr>
            <w:r>
              <w:rPr>
                <w:rFonts w:ascii="Times New Roman" w:hAnsi="Times New Roman"/>
                <w:b/>
                <w:sz w:val="20"/>
              </w:rPr>
              <w:t>Threshold mode</w:t>
            </w:r>
          </w:p>
        </w:tc>
        <w:tc>
          <w:tcPr>
            <w:tcW w:type="dxa" w:w="1500"/>
          </w:tcPr>
          <w:p>
            <w:pPr>
              <w:jc w:val="center"/>
            </w:pPr>
            <w:r>
              <w:rPr>
                <w:rFonts w:ascii="Times New Roman" w:hAnsi="Times New Roman"/>
                <w:b/>
                <w:sz w:val="20"/>
              </w:rPr>
              <w:t>Operating pt</w:t>
            </w:r>
          </w:p>
        </w:tc>
        <w:tc>
          <w:tcPr>
            <w:tcW w:type="dxa" w:w="1500"/>
          </w:tcPr>
          <w:p>
            <w:pPr>
              <w:jc w:val="center"/>
            </w:pPr>
            <w:r>
              <w:rPr>
                <w:rFonts w:ascii="Times New Roman" w:hAnsi="Times New Roman"/>
                <w:b/>
                <w:sz w:val="20"/>
              </w:rPr>
              <w:t>Proactive rate</w:t>
            </w:r>
          </w:p>
        </w:tc>
        <w:tc>
          <w:tcPr>
            <w:tcW w:type="dxa" w:w="1500"/>
          </w:tcPr>
          <w:p>
            <w:pPr>
              <w:jc w:val="center"/>
            </w:pPr>
            <w:r>
              <w:rPr>
                <w:rFonts w:ascii="Times New Roman" w:hAnsi="Times New Roman"/>
                <w:b/>
                <w:sz w:val="20"/>
              </w:rPr>
              <w:t>Median lead (min)</w:t>
            </w:r>
          </w:p>
        </w:tc>
        <w:tc>
          <w:tcPr>
            <w:tcW w:type="dxa" w:w="1500"/>
          </w:tcPr>
          <w:p>
            <w:pPr>
              <w:jc w:val="center"/>
            </w:pPr>
            <w:r>
              <w:rPr>
                <w:rFonts w:ascii="Times New Roman" w:hAnsi="Times New Roman"/>
                <w:b/>
                <w:sz w:val="20"/>
              </w:rPr>
              <w:t>Sens@drowsy</w:t>
            </w:r>
          </w:p>
        </w:tc>
      </w:tr>
      <w:tr>
        <w:tc>
          <w:tcPr>
            <w:tcW w:type="dxa" w:w="1500"/>
          </w:tcPr>
          <w:p>
            <w:pPr>
              <w:jc w:val="center"/>
            </w:pPr>
            <w:r>
              <w:rPr>
                <w:rFonts w:ascii="Times New Roman" w:hAnsi="Times New Roman"/>
                <w:sz w:val="20"/>
              </w:rPr>
              <w:t>≤ 5 %</w:t>
            </w:r>
          </w:p>
        </w:tc>
        <w:tc>
          <w:tcPr>
            <w:tcW w:type="dxa" w:w="1500"/>
          </w:tcPr>
          <w:p>
            <w:pPr>
              <w:jc w:val="center"/>
            </w:pPr>
            <w:r>
              <w:rPr>
                <w:rFonts w:ascii="Times New Roman" w:hAnsi="Times New Roman"/>
                <w:sz w:val="20"/>
              </w:rPr>
              <w:t>global</w:t>
            </w:r>
          </w:p>
        </w:tc>
        <w:tc>
          <w:tcPr>
            <w:tcW w:type="dxa" w:w="1500"/>
          </w:tcPr>
          <w:p>
            <w:pPr>
              <w:jc w:val="center"/>
            </w:pPr>
            <w:r>
              <w:rPr>
                <w:rFonts w:ascii="Times New Roman" w:hAnsi="Times New Roman"/>
                <w:sz w:val="20"/>
              </w:rPr>
              <w:t>thr=0.50, dwell 10 s, τ 30 s</w:t>
            </w:r>
          </w:p>
        </w:tc>
        <w:tc>
          <w:tcPr>
            <w:tcW w:type="dxa" w:w="1500"/>
          </w:tcPr>
          <w:p>
            <w:pPr>
              <w:jc w:val="center"/>
            </w:pPr>
            <w:r>
              <w:rPr>
                <w:rFonts w:ascii="Times New Roman" w:hAnsi="Times New Roman"/>
                <w:sz w:val="20"/>
              </w:rPr>
              <w:t>33.3 %</w:t>
            </w:r>
          </w:p>
        </w:tc>
        <w:tc>
          <w:tcPr>
            <w:tcW w:type="dxa" w:w="1500"/>
          </w:tcPr>
          <w:p>
            <w:pPr>
              <w:jc w:val="center"/>
            </w:pPr>
            <w:r>
              <w:rPr>
                <w:rFonts w:ascii="Times New Roman" w:hAnsi="Times New Roman"/>
                <w:sz w:val="20"/>
              </w:rPr>
              <w:t>+0.00</w:t>
            </w:r>
          </w:p>
        </w:tc>
        <w:tc>
          <w:tcPr>
            <w:tcW w:type="dxa" w:w="1500"/>
          </w:tcPr>
          <w:p>
            <w:pPr>
              <w:jc w:val="center"/>
            </w:pPr>
            <w:r>
              <w:rPr>
                <w:rFonts w:ascii="Times New Roman" w:hAnsi="Times New Roman"/>
                <w:sz w:val="20"/>
              </w:rPr>
              <w:t>0.30</w:t>
            </w:r>
          </w:p>
        </w:tc>
      </w:tr>
      <w:tr>
        <w:tc>
          <w:tcPr>
            <w:tcW w:type="dxa" w:w="1500"/>
          </w:tcPr>
          <w:p>
            <w:pPr>
              <w:jc w:val="center"/>
            </w:pPr>
            <w:r>
              <w:rPr>
                <w:rFonts w:ascii="Times New Roman" w:hAnsi="Times New Roman"/>
                <w:sz w:val="20"/>
              </w:rPr>
              <w:t>≤ 10 %</w:t>
            </w:r>
          </w:p>
        </w:tc>
        <w:tc>
          <w:tcPr>
            <w:tcW w:type="dxa" w:w="1500"/>
          </w:tcPr>
          <w:p>
            <w:pPr>
              <w:jc w:val="center"/>
            </w:pPr>
            <w:r>
              <w:rPr>
                <w:rFonts w:ascii="Times New Roman" w:hAnsi="Times New Roman"/>
                <w:sz w:val="20"/>
              </w:rPr>
              <w:t>global</w:t>
            </w:r>
          </w:p>
        </w:tc>
        <w:tc>
          <w:tcPr>
            <w:tcW w:type="dxa" w:w="1500"/>
          </w:tcPr>
          <w:p>
            <w:pPr>
              <w:jc w:val="center"/>
            </w:pPr>
            <w:r>
              <w:rPr>
                <w:rFonts w:ascii="Times New Roman" w:hAnsi="Times New Roman"/>
                <w:sz w:val="20"/>
              </w:rPr>
              <w:t>thr=0.40, dwell 10 s, τ 30 s</w:t>
            </w:r>
          </w:p>
        </w:tc>
        <w:tc>
          <w:tcPr>
            <w:tcW w:type="dxa" w:w="1500"/>
          </w:tcPr>
          <w:p>
            <w:pPr>
              <w:jc w:val="center"/>
            </w:pPr>
            <w:r>
              <w:rPr>
                <w:rFonts w:ascii="Times New Roman" w:hAnsi="Times New Roman"/>
                <w:sz w:val="20"/>
              </w:rPr>
              <w:t>47.6 %</w:t>
            </w:r>
          </w:p>
        </w:tc>
        <w:tc>
          <w:tcPr>
            <w:tcW w:type="dxa" w:w="1500"/>
          </w:tcPr>
          <w:p>
            <w:pPr>
              <w:jc w:val="center"/>
            </w:pPr>
            <w:r>
              <w:rPr>
                <w:rFonts w:ascii="Times New Roman" w:hAnsi="Times New Roman"/>
                <w:sz w:val="20"/>
              </w:rPr>
              <w:t>+0.83</w:t>
            </w:r>
          </w:p>
        </w:tc>
        <w:tc>
          <w:tcPr>
            <w:tcW w:type="dxa" w:w="1500"/>
          </w:tcPr>
          <w:p>
            <w:pPr>
              <w:jc w:val="center"/>
            </w:pPr>
            <w:r>
              <w:rPr>
                <w:rFonts w:ascii="Times New Roman" w:hAnsi="Times New Roman"/>
                <w:sz w:val="20"/>
              </w:rPr>
              <w:t>0.38</w:t>
            </w:r>
          </w:p>
        </w:tc>
      </w:tr>
      <w:tr>
        <w:tc>
          <w:tcPr>
            <w:tcW w:type="dxa" w:w="1500"/>
          </w:tcPr>
          <w:p>
            <w:pPr>
              <w:jc w:val="center"/>
            </w:pPr>
            <w:r>
              <w:rPr>
                <w:rFonts w:ascii="Times New Roman" w:hAnsi="Times New Roman"/>
                <w:sz w:val="20"/>
              </w:rPr>
              <w:t>≤ 30 %</w:t>
            </w:r>
          </w:p>
        </w:tc>
        <w:tc>
          <w:tcPr>
            <w:tcW w:type="dxa" w:w="1500"/>
          </w:tcPr>
          <w:p>
            <w:pPr>
              <w:jc w:val="center"/>
            </w:pPr>
            <w:r>
              <w:rPr>
                <w:rFonts w:ascii="Times New Roman" w:hAnsi="Times New Roman"/>
                <w:sz w:val="20"/>
              </w:rPr>
              <w:t>per-subj pct of 5min</w:t>
            </w:r>
          </w:p>
        </w:tc>
        <w:tc>
          <w:tcPr>
            <w:tcW w:type="dxa" w:w="1500"/>
          </w:tcPr>
          <w:p>
            <w:pPr>
              <w:jc w:val="center"/>
            </w:pPr>
            <w:r>
              <w:rPr>
                <w:rFonts w:ascii="Times New Roman" w:hAnsi="Times New Roman"/>
                <w:sz w:val="20"/>
              </w:rPr>
              <w:t>pct 99, dwell 10 s, τ 30 s ← recommended</w:t>
            </w:r>
          </w:p>
        </w:tc>
        <w:tc>
          <w:tcPr>
            <w:tcW w:type="dxa" w:w="1500"/>
          </w:tcPr>
          <w:p>
            <w:pPr>
              <w:jc w:val="center"/>
            </w:pPr>
            <w:r>
              <w:rPr>
                <w:rFonts w:ascii="Times New Roman" w:hAnsi="Times New Roman"/>
                <w:sz w:val="20"/>
              </w:rPr>
              <w:t>85.7 %</w:t>
            </w:r>
          </w:p>
        </w:tc>
        <w:tc>
          <w:tcPr>
            <w:tcW w:type="dxa" w:w="1500"/>
          </w:tcPr>
          <w:p>
            <w:pPr>
              <w:jc w:val="center"/>
            </w:pPr>
            <w:r>
              <w:rPr>
                <w:rFonts w:ascii="Times New Roman" w:hAnsi="Times New Roman"/>
                <w:sz w:val="20"/>
              </w:rPr>
              <w:t>+31.67</w:t>
            </w:r>
          </w:p>
        </w:tc>
        <w:tc>
          <w:tcPr>
            <w:tcW w:type="dxa" w:w="1500"/>
          </w:tcPr>
          <w:p>
            <w:pPr>
              <w:jc w:val="center"/>
            </w:pPr>
            <w:r>
              <w:rPr>
                <w:rFonts w:ascii="Times New Roman" w:hAnsi="Times New Roman"/>
                <w:sz w:val="20"/>
              </w:rPr>
              <w:t>0.69</w:t>
            </w:r>
          </w:p>
        </w:tc>
      </w:tr>
      <w:tr>
        <w:tc>
          <w:tcPr>
            <w:tcW w:type="dxa" w:w="1500"/>
          </w:tcPr>
          <w:p>
            <w:pPr>
              <w:jc w:val="center"/>
            </w:pPr>
            <w:r>
              <w:rPr>
                <w:rFonts w:ascii="Times New Roman" w:hAnsi="Times New Roman"/>
                <w:sz w:val="20"/>
              </w:rPr>
              <w:t>≤ 50 %</w:t>
            </w:r>
          </w:p>
        </w:tc>
        <w:tc>
          <w:tcPr>
            <w:tcW w:type="dxa" w:w="1500"/>
          </w:tcPr>
          <w:p>
            <w:pPr>
              <w:jc w:val="center"/>
            </w:pPr>
            <w:r>
              <w:rPr>
                <w:rFonts w:ascii="Times New Roman" w:hAnsi="Times New Roman"/>
                <w:sz w:val="20"/>
              </w:rPr>
              <w:t>per-subj pct of 2min</w:t>
            </w:r>
          </w:p>
        </w:tc>
        <w:tc>
          <w:tcPr>
            <w:tcW w:type="dxa" w:w="1500"/>
          </w:tcPr>
          <w:p>
            <w:pPr>
              <w:jc w:val="center"/>
            </w:pPr>
            <w:r>
              <w:rPr>
                <w:rFonts w:ascii="Times New Roman" w:hAnsi="Times New Roman"/>
                <w:sz w:val="20"/>
              </w:rPr>
              <w:t>pct 99, dwell 10 s, τ 30 s</w:t>
            </w:r>
          </w:p>
        </w:tc>
        <w:tc>
          <w:tcPr>
            <w:tcW w:type="dxa" w:w="1500"/>
          </w:tcPr>
          <w:p>
            <w:pPr>
              <w:jc w:val="center"/>
            </w:pPr>
            <w:r>
              <w:rPr>
                <w:rFonts w:ascii="Times New Roman" w:hAnsi="Times New Roman"/>
                <w:sz w:val="20"/>
              </w:rPr>
              <w:t>90.5 %</w:t>
            </w:r>
          </w:p>
        </w:tc>
        <w:tc>
          <w:tcPr>
            <w:tcW w:type="dxa" w:w="1500"/>
          </w:tcPr>
          <w:p>
            <w:pPr>
              <w:jc w:val="center"/>
            </w:pPr>
            <w:r>
              <w:rPr>
                <w:rFonts w:ascii="Times New Roman" w:hAnsi="Times New Roman"/>
                <w:sz w:val="20"/>
              </w:rPr>
              <w:t>+33.50</w:t>
            </w:r>
          </w:p>
        </w:tc>
        <w:tc>
          <w:tcPr>
            <w:tcW w:type="dxa" w:w="1500"/>
          </w:tcPr>
          <w:p>
            <w:pPr>
              <w:jc w:val="center"/>
            </w:pPr>
            <w:r>
              <w:rPr>
                <w:rFonts w:ascii="Times New Roman" w:hAnsi="Times New Roman"/>
                <w:sz w:val="20"/>
              </w:rPr>
              <w:t>0.79</w:t>
            </w:r>
          </w:p>
        </w:tc>
      </w:tr>
    </w:tbl>
    <w:p/>
    <w:p>
      <w:pPr>
        <w:spacing w:line="360" w:lineRule="auto"/>
        <w:jc w:val="both"/>
      </w:pPr>
      <w:r>
        <w:rPr>
          <w:rFonts w:ascii="Times New Roman" w:hAnsi="Times New Roman"/>
          <w:sz w:val="24"/>
        </w:rPr>
        <w:t>The recommended row above deserves explicit deployment framing. The epoch-level FPR of 27.6 % is not the alarm rate of a deployed system — it is the fraction of clearly-awake epochs where the continuously-smoothed posterior is above threshold, which is a property of the underlying signal rather than a policy metric. Under a deploy-as-first-sustained-crossing policy, each session emits at most one drowsy alert; after that initial alert, the system transitions to an escalated-monitoring state. The deployment-relevant number is the per-session false-alert rate — the fraction of sessions in which EEG alerts but the camera never reaches PERCLOS &gt; 0.70 — which is 9.5 % (2 / 21) at the recommended operating point. These two numbers answer different questions and should be read together.</w:t>
      </w:r>
    </w:p>
    <w:p>
      <w:pPr>
        <w:spacing w:before="200" w:after="120"/>
        <w:jc w:val="left"/>
      </w:pPr>
      <w:r>
        <w:rPr>
          <w:rFonts w:ascii="Times New Roman" w:hAnsi="Times New Roman"/>
          <w:b/>
          <w:sz w:val="24"/>
        </w:rPr>
        <w:t>5.4.1  Graceful Degradation Across PERCLOS Severity</w:t>
      </w:r>
    </w:p>
    <w:p>
      <w:pPr>
        <w:spacing w:line="360" w:lineRule="auto"/>
        <w:jc w:val="both"/>
      </w:pPr>
      <w:r>
        <w:rPr>
          <w:rFonts w:ascii="Times New Roman" w:hAnsi="Times New Roman"/>
          <w:sz w:val="24"/>
        </w:rPr>
        <w:t>A single-threshold advance-prediction number is always threshold-dependent. The natural reviewer question — 'does your lead time collapse at a less-forgiving behavioural threshold?' — is answered directly by Figure 5.5 and Table 5.8: with the v20 EEG-onset rule held constant, the PERCLOS reference threshold is swept from 0.30 (first detectable eye-closure drift, i.e., mild drowsiness) through 0.40, 0.50, 0.60, to 0.70 (heavy eye closure, equivalent to 'fighting sleep'). Every severity level preserves a positive median lead.</w:t>
      </w:r>
    </w:p>
    <w:p>
      <w:pPr>
        <w:spacing w:before="240"/>
        <w:jc w:val="center"/>
      </w:pPr>
      <w:r>
        <w:rPr>
          <w:rFonts w:ascii="Times New Roman" w:hAnsi="Times New Roman"/>
          <w:b/>
          <w:sz w:val="20"/>
        </w:rPr>
        <w:t>Table 5.8: Advance-prediction envelope versus PERCLOS severity. EEG onset rule is fixed at the recommended v20 operating point; only the behavioural threshold is swept.</w:t>
      </w:r>
    </w:p>
    <w:tbl>
      <w:tblPr>
        <w:tblStyle w:val="TableGrid"/>
        <w:tblW w:type="auto" w:w="0"/>
        <w:jc w:val="center"/>
        <w:tblLook w:firstColumn="1" w:firstRow="1" w:lastColumn="0" w:lastRow="0" w:noHBand="0" w:noVBand="1" w:val="04A0"/>
      </w:tblPr>
      <w:tblGrid>
        <w:gridCol w:w="1286"/>
        <w:gridCol w:w="1286"/>
        <w:gridCol w:w="1286"/>
        <w:gridCol w:w="1286"/>
        <w:gridCol w:w="1286"/>
        <w:gridCol w:w="1286"/>
        <w:gridCol w:w="1286"/>
      </w:tblGrid>
      <w:tr>
        <w:tc>
          <w:tcPr>
            <w:tcW w:type="dxa" w:w="1286"/>
          </w:tcPr>
          <w:p>
            <w:pPr>
              <w:jc w:val="center"/>
            </w:pPr>
            <w:r>
              <w:rPr>
                <w:rFonts w:ascii="Times New Roman" w:hAnsi="Times New Roman"/>
                <w:b/>
                <w:sz w:val="20"/>
              </w:rPr>
              <w:t>PERCLOS threshold</w:t>
            </w:r>
          </w:p>
        </w:tc>
        <w:tc>
          <w:tcPr>
            <w:tcW w:type="dxa" w:w="1286"/>
          </w:tcPr>
          <w:p>
            <w:pPr>
              <w:jc w:val="center"/>
            </w:pPr>
            <w:r>
              <w:rPr>
                <w:rFonts w:ascii="Times New Roman" w:hAnsi="Times New Roman"/>
                <w:b/>
                <w:sz w:val="20"/>
              </w:rPr>
              <w:t>n both</w:t>
            </w:r>
          </w:p>
        </w:tc>
        <w:tc>
          <w:tcPr>
            <w:tcW w:type="dxa" w:w="1286"/>
          </w:tcPr>
          <w:p>
            <w:pPr>
              <w:jc w:val="center"/>
            </w:pPr>
            <w:r>
              <w:rPr>
                <w:rFonts w:ascii="Times New Roman" w:hAnsi="Times New Roman"/>
                <w:b/>
                <w:sz w:val="20"/>
              </w:rPr>
              <w:t>n EEG-only</w:t>
            </w:r>
          </w:p>
        </w:tc>
        <w:tc>
          <w:tcPr>
            <w:tcW w:type="dxa" w:w="1286"/>
          </w:tcPr>
          <w:p>
            <w:pPr>
              <w:jc w:val="center"/>
            </w:pPr>
            <w:r>
              <w:rPr>
                <w:rFonts w:ascii="Times New Roman" w:hAnsi="Times New Roman"/>
                <w:b/>
                <w:sz w:val="20"/>
              </w:rPr>
              <w:t>Proactive</w:t>
            </w:r>
          </w:p>
        </w:tc>
        <w:tc>
          <w:tcPr>
            <w:tcW w:type="dxa" w:w="1286"/>
          </w:tcPr>
          <w:p>
            <w:pPr>
              <w:jc w:val="center"/>
            </w:pPr>
            <w:r>
              <w:rPr>
                <w:rFonts w:ascii="Times New Roman" w:hAnsi="Times New Roman"/>
                <w:b/>
                <w:sz w:val="20"/>
              </w:rPr>
              <w:t>Per-session FA</w:t>
            </w:r>
          </w:p>
        </w:tc>
        <w:tc>
          <w:tcPr>
            <w:tcW w:type="dxa" w:w="1286"/>
          </w:tcPr>
          <w:p>
            <w:pPr>
              <w:jc w:val="center"/>
            </w:pPr>
            <w:r>
              <w:rPr>
                <w:rFonts w:ascii="Times New Roman" w:hAnsi="Times New Roman"/>
                <w:b/>
                <w:sz w:val="20"/>
              </w:rPr>
              <w:t>Median lead (min)</w:t>
            </w:r>
          </w:p>
        </w:tc>
        <w:tc>
          <w:tcPr>
            <w:tcW w:type="dxa" w:w="1286"/>
          </w:tcPr>
          <w:p>
            <w:pPr>
              <w:jc w:val="center"/>
            </w:pPr>
            <w:r>
              <w:rPr>
                <w:rFonts w:ascii="Times New Roman" w:hAnsi="Times New Roman"/>
                <w:b/>
                <w:sz w:val="20"/>
              </w:rPr>
              <w:t>IQR (min)</w:t>
            </w:r>
          </w:p>
        </w:tc>
      </w:tr>
      <w:tr>
        <w:tc>
          <w:tcPr>
            <w:tcW w:type="dxa" w:w="1286"/>
          </w:tcPr>
          <w:p>
            <w:pPr>
              <w:jc w:val="center"/>
            </w:pPr>
            <w:r>
              <w:rPr>
                <w:rFonts w:ascii="Times New Roman" w:hAnsi="Times New Roman"/>
                <w:sz w:val="20"/>
              </w:rPr>
              <w:t>0.30 (mild)</w:t>
            </w:r>
          </w:p>
        </w:tc>
        <w:tc>
          <w:tcPr>
            <w:tcW w:type="dxa" w:w="1286"/>
          </w:tcPr>
          <w:p>
            <w:pPr>
              <w:jc w:val="center"/>
            </w:pPr>
            <w:r>
              <w:rPr>
                <w:rFonts w:ascii="Times New Roman" w:hAnsi="Times New Roman"/>
                <w:sz w:val="20"/>
              </w:rPr>
              <w:t>21</w:t>
            </w:r>
          </w:p>
        </w:tc>
        <w:tc>
          <w:tcPr>
            <w:tcW w:type="dxa" w:w="1286"/>
          </w:tcPr>
          <w:p>
            <w:pPr>
              <w:jc w:val="center"/>
            </w:pPr>
            <w:r>
              <w:rPr>
                <w:rFonts w:ascii="Times New Roman" w:hAnsi="Times New Roman"/>
                <w:sz w:val="20"/>
              </w:rPr>
              <w:t>0</w:t>
            </w:r>
          </w:p>
        </w:tc>
        <w:tc>
          <w:tcPr>
            <w:tcW w:type="dxa" w:w="1286"/>
          </w:tcPr>
          <w:p>
            <w:pPr>
              <w:jc w:val="center"/>
            </w:pPr>
            <w:r>
              <w:rPr>
                <w:rFonts w:ascii="Times New Roman" w:hAnsi="Times New Roman"/>
                <w:sz w:val="20"/>
              </w:rPr>
              <w:t>71.4 %</w:t>
            </w:r>
          </w:p>
        </w:tc>
        <w:tc>
          <w:tcPr>
            <w:tcW w:type="dxa" w:w="1286"/>
          </w:tcPr>
          <w:p>
            <w:pPr>
              <w:jc w:val="center"/>
            </w:pPr>
            <w:r>
              <w:rPr>
                <w:rFonts w:ascii="Times New Roman" w:hAnsi="Times New Roman"/>
                <w:sz w:val="20"/>
              </w:rPr>
              <w:t>0.0 %</w:t>
            </w:r>
          </w:p>
        </w:tc>
        <w:tc>
          <w:tcPr>
            <w:tcW w:type="dxa" w:w="1286"/>
          </w:tcPr>
          <w:p>
            <w:pPr>
              <w:jc w:val="center"/>
            </w:pPr>
            <w:r>
              <w:rPr>
                <w:rFonts w:ascii="Times New Roman" w:hAnsi="Times New Roman"/>
                <w:sz w:val="20"/>
              </w:rPr>
              <w:t>+8.83</w:t>
            </w:r>
          </w:p>
        </w:tc>
        <w:tc>
          <w:tcPr>
            <w:tcW w:type="dxa" w:w="1286"/>
          </w:tcPr>
          <w:p>
            <w:pPr>
              <w:jc w:val="center"/>
            </w:pPr>
            <w:r>
              <w:rPr>
                <w:rFonts w:ascii="Times New Roman" w:hAnsi="Times New Roman"/>
                <w:sz w:val="20"/>
              </w:rPr>
              <w:t>[−0.3, +12.7]</w:t>
            </w:r>
          </w:p>
        </w:tc>
      </w:tr>
      <w:tr>
        <w:tc>
          <w:tcPr>
            <w:tcW w:type="dxa" w:w="1286"/>
          </w:tcPr>
          <w:p>
            <w:pPr>
              <w:jc w:val="center"/>
            </w:pPr>
            <w:r>
              <w:rPr>
                <w:rFonts w:ascii="Times New Roman" w:hAnsi="Times New Roman"/>
                <w:sz w:val="20"/>
              </w:rPr>
              <w:t>0.40</w:t>
            </w:r>
          </w:p>
        </w:tc>
        <w:tc>
          <w:tcPr>
            <w:tcW w:type="dxa" w:w="1286"/>
          </w:tcPr>
          <w:p>
            <w:pPr>
              <w:jc w:val="center"/>
            </w:pPr>
            <w:r>
              <w:rPr>
                <w:rFonts w:ascii="Times New Roman" w:hAnsi="Times New Roman"/>
                <w:sz w:val="20"/>
              </w:rPr>
              <w:t>20</w:t>
            </w:r>
          </w:p>
        </w:tc>
        <w:tc>
          <w:tcPr>
            <w:tcW w:type="dxa" w:w="1286"/>
          </w:tcPr>
          <w:p>
            <w:pPr>
              <w:jc w:val="center"/>
            </w:pPr>
            <w:r>
              <w:rPr>
                <w:rFonts w:ascii="Times New Roman" w:hAnsi="Times New Roman"/>
                <w:sz w:val="20"/>
              </w:rPr>
              <w:t>1</w:t>
            </w:r>
          </w:p>
        </w:tc>
        <w:tc>
          <w:tcPr>
            <w:tcW w:type="dxa" w:w="1286"/>
          </w:tcPr>
          <w:p>
            <w:pPr>
              <w:jc w:val="center"/>
            </w:pPr>
            <w:r>
              <w:rPr>
                <w:rFonts w:ascii="Times New Roman" w:hAnsi="Times New Roman"/>
                <w:sz w:val="20"/>
              </w:rPr>
              <w:t>85.7 %</w:t>
            </w:r>
          </w:p>
        </w:tc>
        <w:tc>
          <w:tcPr>
            <w:tcW w:type="dxa" w:w="1286"/>
          </w:tcPr>
          <w:p>
            <w:pPr>
              <w:jc w:val="center"/>
            </w:pPr>
            <w:r>
              <w:rPr>
                <w:rFonts w:ascii="Times New Roman" w:hAnsi="Times New Roman"/>
                <w:sz w:val="20"/>
              </w:rPr>
              <w:t>4.8 %</w:t>
            </w:r>
          </w:p>
        </w:tc>
        <w:tc>
          <w:tcPr>
            <w:tcW w:type="dxa" w:w="1286"/>
          </w:tcPr>
          <w:p>
            <w:pPr>
              <w:jc w:val="center"/>
            </w:pPr>
            <w:r>
              <w:rPr>
                <w:rFonts w:ascii="Times New Roman" w:hAnsi="Times New Roman"/>
                <w:sz w:val="20"/>
              </w:rPr>
              <w:t>+27.75</w:t>
            </w:r>
          </w:p>
        </w:tc>
        <w:tc>
          <w:tcPr>
            <w:tcW w:type="dxa" w:w="1286"/>
          </w:tcPr>
          <w:p>
            <w:pPr>
              <w:jc w:val="center"/>
            </w:pPr>
            <w:r>
              <w:rPr>
                <w:rFonts w:ascii="Times New Roman" w:hAnsi="Times New Roman"/>
                <w:sz w:val="20"/>
              </w:rPr>
              <w:t>[+12.3, +42.8]</w:t>
            </w:r>
          </w:p>
        </w:tc>
      </w:tr>
      <w:tr>
        <w:tc>
          <w:tcPr>
            <w:tcW w:type="dxa" w:w="1286"/>
          </w:tcPr>
          <w:p>
            <w:pPr>
              <w:jc w:val="center"/>
            </w:pPr>
            <w:r>
              <w:rPr>
                <w:rFonts w:ascii="Times New Roman" w:hAnsi="Times New Roman"/>
                <w:sz w:val="20"/>
              </w:rPr>
              <w:t>0.50</w:t>
            </w:r>
          </w:p>
        </w:tc>
        <w:tc>
          <w:tcPr>
            <w:tcW w:type="dxa" w:w="1286"/>
          </w:tcPr>
          <w:p>
            <w:pPr>
              <w:jc w:val="center"/>
            </w:pPr>
            <w:r>
              <w:rPr>
                <w:rFonts w:ascii="Times New Roman" w:hAnsi="Times New Roman"/>
                <w:sz w:val="20"/>
              </w:rPr>
              <w:t>20</w:t>
            </w:r>
          </w:p>
        </w:tc>
        <w:tc>
          <w:tcPr>
            <w:tcW w:type="dxa" w:w="1286"/>
          </w:tcPr>
          <w:p>
            <w:pPr>
              <w:jc w:val="center"/>
            </w:pPr>
            <w:r>
              <w:rPr>
                <w:rFonts w:ascii="Times New Roman" w:hAnsi="Times New Roman"/>
                <w:sz w:val="20"/>
              </w:rPr>
              <w:t>1</w:t>
            </w:r>
          </w:p>
        </w:tc>
        <w:tc>
          <w:tcPr>
            <w:tcW w:type="dxa" w:w="1286"/>
          </w:tcPr>
          <w:p>
            <w:pPr>
              <w:jc w:val="center"/>
            </w:pPr>
            <w:r>
              <w:rPr>
                <w:rFonts w:ascii="Times New Roman" w:hAnsi="Times New Roman"/>
                <w:sz w:val="20"/>
              </w:rPr>
              <w:t>85.7 %</w:t>
            </w:r>
          </w:p>
        </w:tc>
        <w:tc>
          <w:tcPr>
            <w:tcW w:type="dxa" w:w="1286"/>
          </w:tcPr>
          <w:p>
            <w:pPr>
              <w:jc w:val="center"/>
            </w:pPr>
            <w:r>
              <w:rPr>
                <w:rFonts w:ascii="Times New Roman" w:hAnsi="Times New Roman"/>
                <w:sz w:val="20"/>
              </w:rPr>
              <w:t>4.8 %</w:t>
            </w:r>
          </w:p>
        </w:tc>
        <w:tc>
          <w:tcPr>
            <w:tcW w:type="dxa" w:w="1286"/>
          </w:tcPr>
          <w:p>
            <w:pPr>
              <w:jc w:val="center"/>
            </w:pPr>
            <w:r>
              <w:rPr>
                <w:rFonts w:ascii="Times New Roman" w:hAnsi="Times New Roman"/>
                <w:sz w:val="20"/>
              </w:rPr>
              <w:t>+28.00</w:t>
            </w:r>
          </w:p>
        </w:tc>
        <w:tc>
          <w:tcPr>
            <w:tcW w:type="dxa" w:w="1286"/>
          </w:tcPr>
          <w:p>
            <w:pPr>
              <w:jc w:val="center"/>
            </w:pPr>
            <w:r>
              <w:rPr>
                <w:rFonts w:ascii="Times New Roman" w:hAnsi="Times New Roman"/>
                <w:sz w:val="20"/>
              </w:rPr>
              <w:t>[+12.5, +43.0]</w:t>
            </w:r>
          </w:p>
        </w:tc>
      </w:tr>
      <w:tr>
        <w:tc>
          <w:tcPr>
            <w:tcW w:type="dxa" w:w="1286"/>
          </w:tcPr>
          <w:p>
            <w:pPr>
              <w:jc w:val="center"/>
            </w:pPr>
            <w:r>
              <w:rPr>
                <w:rFonts w:ascii="Times New Roman" w:hAnsi="Times New Roman"/>
                <w:sz w:val="20"/>
              </w:rPr>
              <w:t>0.60</w:t>
            </w:r>
          </w:p>
        </w:tc>
        <w:tc>
          <w:tcPr>
            <w:tcW w:type="dxa" w:w="1286"/>
          </w:tcPr>
          <w:p>
            <w:pPr>
              <w:jc w:val="center"/>
            </w:pPr>
            <w:r>
              <w:rPr>
                <w:rFonts w:ascii="Times New Roman" w:hAnsi="Times New Roman"/>
                <w:sz w:val="20"/>
              </w:rPr>
              <w:t>20</w:t>
            </w:r>
          </w:p>
        </w:tc>
        <w:tc>
          <w:tcPr>
            <w:tcW w:type="dxa" w:w="1286"/>
          </w:tcPr>
          <w:p>
            <w:pPr>
              <w:jc w:val="center"/>
            </w:pPr>
            <w:r>
              <w:rPr>
                <w:rFonts w:ascii="Times New Roman" w:hAnsi="Times New Roman"/>
                <w:sz w:val="20"/>
              </w:rPr>
              <w:t>1</w:t>
            </w:r>
          </w:p>
        </w:tc>
        <w:tc>
          <w:tcPr>
            <w:tcW w:type="dxa" w:w="1286"/>
          </w:tcPr>
          <w:p>
            <w:pPr>
              <w:jc w:val="center"/>
            </w:pPr>
            <w:r>
              <w:rPr>
                <w:rFonts w:ascii="Times New Roman" w:hAnsi="Times New Roman"/>
                <w:sz w:val="20"/>
              </w:rPr>
              <w:t>85.7 %</w:t>
            </w:r>
          </w:p>
        </w:tc>
        <w:tc>
          <w:tcPr>
            <w:tcW w:type="dxa" w:w="1286"/>
          </w:tcPr>
          <w:p>
            <w:pPr>
              <w:jc w:val="center"/>
            </w:pPr>
            <w:r>
              <w:rPr>
                <w:rFonts w:ascii="Times New Roman" w:hAnsi="Times New Roman"/>
                <w:sz w:val="20"/>
              </w:rPr>
              <w:t>4.8 %</w:t>
            </w:r>
          </w:p>
        </w:tc>
        <w:tc>
          <w:tcPr>
            <w:tcW w:type="dxa" w:w="1286"/>
          </w:tcPr>
          <w:p>
            <w:pPr>
              <w:jc w:val="center"/>
            </w:pPr>
            <w:r>
              <w:rPr>
                <w:rFonts w:ascii="Times New Roman" w:hAnsi="Times New Roman"/>
                <w:sz w:val="20"/>
              </w:rPr>
              <w:t>+28.25</w:t>
            </w:r>
          </w:p>
        </w:tc>
        <w:tc>
          <w:tcPr>
            <w:tcW w:type="dxa" w:w="1286"/>
          </w:tcPr>
          <w:p>
            <w:pPr>
              <w:jc w:val="center"/>
            </w:pPr>
            <w:r>
              <w:rPr>
                <w:rFonts w:ascii="Times New Roman" w:hAnsi="Times New Roman"/>
                <w:sz w:val="20"/>
              </w:rPr>
              <w:t>[+12.8, +47.8]</w:t>
            </w:r>
          </w:p>
        </w:tc>
      </w:tr>
      <w:tr>
        <w:tc>
          <w:tcPr>
            <w:tcW w:type="dxa" w:w="1286"/>
          </w:tcPr>
          <w:p>
            <w:pPr>
              <w:jc w:val="center"/>
            </w:pPr>
            <w:r>
              <w:rPr>
                <w:rFonts w:ascii="Times New Roman" w:hAnsi="Times New Roman"/>
                <w:sz w:val="20"/>
              </w:rPr>
              <w:t>0.70 (severe)</w:t>
            </w:r>
          </w:p>
        </w:tc>
        <w:tc>
          <w:tcPr>
            <w:tcW w:type="dxa" w:w="1286"/>
          </w:tcPr>
          <w:p>
            <w:pPr>
              <w:jc w:val="center"/>
            </w:pPr>
            <w:r>
              <w:rPr>
                <w:rFonts w:ascii="Times New Roman" w:hAnsi="Times New Roman"/>
                <w:sz w:val="20"/>
              </w:rPr>
              <w:t>19</w:t>
            </w:r>
          </w:p>
        </w:tc>
        <w:tc>
          <w:tcPr>
            <w:tcW w:type="dxa" w:w="1286"/>
          </w:tcPr>
          <w:p>
            <w:pPr>
              <w:jc w:val="center"/>
            </w:pPr>
            <w:r>
              <w:rPr>
                <w:rFonts w:ascii="Times New Roman" w:hAnsi="Times New Roman"/>
                <w:sz w:val="20"/>
              </w:rPr>
              <w:t>2</w:t>
            </w:r>
          </w:p>
        </w:tc>
        <w:tc>
          <w:tcPr>
            <w:tcW w:type="dxa" w:w="1286"/>
          </w:tcPr>
          <w:p>
            <w:pPr>
              <w:jc w:val="center"/>
            </w:pPr>
            <w:r>
              <w:rPr>
                <w:rFonts w:ascii="Times New Roman" w:hAnsi="Times New Roman"/>
                <w:sz w:val="20"/>
              </w:rPr>
              <w:t>85.7 %</w:t>
            </w:r>
          </w:p>
        </w:tc>
        <w:tc>
          <w:tcPr>
            <w:tcW w:type="dxa" w:w="1286"/>
          </w:tcPr>
          <w:p>
            <w:pPr>
              <w:jc w:val="center"/>
            </w:pPr>
            <w:r>
              <w:rPr>
                <w:rFonts w:ascii="Times New Roman" w:hAnsi="Times New Roman"/>
                <w:sz w:val="20"/>
              </w:rPr>
              <w:t>9.5 %</w:t>
            </w:r>
          </w:p>
        </w:tc>
        <w:tc>
          <w:tcPr>
            <w:tcW w:type="dxa" w:w="1286"/>
          </w:tcPr>
          <w:p>
            <w:pPr>
              <w:jc w:val="center"/>
            </w:pPr>
            <w:r>
              <w:rPr>
                <w:rFonts w:ascii="Times New Roman" w:hAnsi="Times New Roman"/>
                <w:sz w:val="20"/>
              </w:rPr>
              <w:t>+31.67</w:t>
            </w:r>
          </w:p>
        </w:tc>
        <w:tc>
          <w:tcPr>
            <w:tcW w:type="dxa" w:w="1286"/>
          </w:tcPr>
          <w:p>
            <w:pPr>
              <w:jc w:val="center"/>
            </w:pPr>
            <w:r>
              <w:rPr>
                <w:rFonts w:ascii="Times New Roman" w:hAnsi="Times New Roman"/>
                <w:sz w:val="20"/>
              </w:rPr>
              <w:t>[+12.8, +49.2]</w:t>
            </w:r>
          </w:p>
        </w:tc>
      </w:tr>
    </w:tbl>
    <w:p/>
    <w:p>
      <w:pPr>
        <w:spacing w:line="360" w:lineRule="auto"/>
        <w:jc w:val="both"/>
      </w:pPr>
      <w:r>
        <w:rPr>
          <w:rFonts w:ascii="Times New Roman" w:hAnsi="Times New Roman"/>
          <w:sz w:val="24"/>
        </w:rPr>
        <w:t>The interpretation is physiological rather than algorithmic. Against the mildest onset threshold (PERCLOS &gt; 0.30, which fires on the earliest visible eye-drift), the pipeline delivers a median +8.83 minutes of advance warning with zero per-session false alerts — every EEG alert at the mildest threshold is eventually confirmed by the camera within the session. As the behavioural threshold rises toward severe drowsiness, the lead grows (because the camera takes longer to declare severe drowsy), but the physiologically-meaningful horizon is closer to 8–10 minutes. The paper's headline 'up to ~30 minutes' is therefore a valid characterisation of the lead relative to the severe camera marker used in the deployment comparison of Table 5.9, but the clinically-useful figure — the lead against the first detectable behavioural sign of drowsiness — is closer to 9 minutes.</w:t>
      </w:r>
    </w:p>
    <w:p>
      <w:pPr>
        <w:spacing w:before="120"/>
        <w:jc w:val="center"/>
      </w:pPr>
      <w:r>
        <w:rPr>
          <w:i/>
          <w:color w:val="808080"/>
          <w:sz w:val="22"/>
        </w:rPr>
        <w:br/>
        <w:t>[SCREENSHOT PLACEHOLDER: Figure 5.5 — Lead-time vs PERCLOS-severity curve with IQR band, proactive-rate and per-session FA on secondary axes.]</w:t>
        <w:br/>
      </w:r>
    </w:p>
    <w:p>
      <w:pPr>
        <w:spacing w:after="240"/>
        <w:jc w:val="center"/>
      </w:pPr>
      <w:r>
        <w:rPr>
          <w:b/>
          <w:sz w:val="20"/>
        </w:rPr>
        <w:t>Figure 5.5: Graceful degradation of advance-prediction metrics across behavioural severity thresholds.</w:t>
      </w:r>
    </w:p>
    <w:p>
      <w:pPr>
        <w:spacing w:before="200" w:after="120"/>
        <w:jc w:val="left"/>
      </w:pPr>
      <w:r>
        <w:rPr>
          <w:rFonts w:ascii="Times New Roman" w:hAnsi="Times New Roman"/>
          <w:b/>
          <w:sz w:val="24"/>
        </w:rPr>
        <w:t>5.4.2  Paired Test: v20 vs the Earlier Uncontrolled Protocol (v13)</w:t>
      </w:r>
    </w:p>
    <w:p>
      <w:pPr>
        <w:spacing w:line="360" w:lineRule="auto"/>
        <w:jc w:val="both"/>
      </w:pPr>
      <w:r>
        <w:rPr>
          <w:rFonts w:ascii="Times New Roman" w:hAnsi="Times New Roman"/>
          <w:sz w:val="24"/>
        </w:rPr>
        <w:t>An earlier iteration of this pipeline (denoted v13) reported a single advance-prediction number under an uncontrolled protocol: global posterior threshold 0.5, dwell 30 s, EMA τ 30 s, with no per-driver calibration and with the 'both-onset-required' filter that silently dropped censored positive cases. The reported number was a median lead of +0.08 minutes (IQR [−4.25, +3.08]) — not compatible with the 'pro-active' positioning of the paper. The current v20 protocol retains the same per-subject LOSO posteriors but adds per-driver percentile calibration, a 10-second dwell, and the survival framing; otherwise nothing changes. On the 11 SEED-VIG subjects where both v13 and v20 detect both onsets (so that per-subject lead times are directly paired), v20 lifts the mean lead from −4.95 minutes to +32.06 minutes — a paired improvement of +37.02 ± 32.19 minutes. A one-sided paired Wilcoxon signed-rank test gives p = 0.001, and paired Cohen's d = 1.15 (very large). Eight additional SEED-VIG subjects — missed by v13's global threshold and captured by v20's per-driver one — are excluded from the paired test on methodological grounds (they are categorical detection gains, not continuous improvements) but are reported separately: v13 detected zero subjects that v20 missed, while v20 detected eight subjects that v13 missed. The rescue of the pro-active claim is therefore a combined effect of (i) longer leads where both protocols fire and (ii) firing on subjects where v13 was silent.</w:t>
      </w:r>
    </w:p>
    <w:p>
      <w:pPr>
        <w:spacing w:before="200" w:after="120"/>
        <w:jc w:val="left"/>
      </w:pPr>
      <w:r>
        <w:rPr>
          <w:rFonts w:ascii="Times New Roman" w:hAnsi="Times New Roman"/>
          <w:b/>
          <w:sz w:val="24"/>
        </w:rPr>
        <w:t>5.4.3  Live-System Demonstrator on Three Representative Subjects</w:t>
      </w:r>
    </w:p>
    <w:p>
      <w:pPr>
        <w:spacing w:line="360" w:lineRule="auto"/>
        <w:jc w:val="both"/>
      </w:pPr>
      <w:r>
        <w:rPr>
          <w:rFonts w:ascii="Times New Roman" w:hAnsi="Times New Roman"/>
          <w:sz w:val="24"/>
        </w:rPr>
        <w:t>Figure 5.12 shows the v20 algorithm running on three representative SEED-VIG subjects drawn from the distribution of Table 5.8: a strong-lead case (subject 8, lead = +91.33 min), the median-lead case (subject 11, lead = +31.67 min; this is the exact operating point of the paper's headline number), and a marginal case (subject 17, lead = −0.33 min). For each subject the figure overlays the raw per-epoch posterior, the causal-EMA-smoothed posterior, the per-subject 99th-percentile threshold, the behavioural PERCLOS trace on a secondary axis, and the two onset markers. The strong-lead case shows EEG crossing 91 minutes before the camera — a driver who by EEG signature was already neurophysiologically drowsy well before PERCLOS crossed 0.70. The median-lead case matches the paper's headline exactly. The marginal case is deliberately included to avoid cherry-picking: for subject 17 the EEG lagged the camera by 20 seconds, and this is the failure mode the deployment system must tolerate. The full animated playback of the median-lead case is provided in the supplementary material as `demo_v20.gif` and is reproduced by running `live_demo_figure.py`.</w:t>
      </w:r>
    </w:p>
    <w:p>
      <w:pPr>
        <w:spacing w:before="120"/>
        <w:jc w:val="center"/>
      </w:pPr>
      <w:r>
        <w:rPr>
          <w:i/>
          <w:color w:val="808080"/>
          <w:sz w:val="22"/>
        </w:rPr>
        <w:br/>
        <w:t>[SCREENSHOT PLACEHOLDER: Figure 5.12 — Live-system demonstrator across three SEED-VIG subjects (strong lead, median lead, marginal case) with onsets, thresholds, and PERCLOS overlaid.]</w:t>
        <w:br/>
      </w:r>
    </w:p>
    <w:p>
      <w:pPr>
        <w:spacing w:after="240"/>
        <w:jc w:val="center"/>
      </w:pPr>
      <w:r>
        <w:rPr>
          <w:b/>
          <w:sz w:val="20"/>
        </w:rPr>
        <w:t>Figure 5.12: Live-system demonstrator on three representative SEED-VIG subjects; full playback in supplementary animation `demo_v20.gif`.</w:t>
      </w:r>
    </w:p>
    <w:p>
      <w:pPr>
        <w:spacing w:before="280" w:after="160"/>
        <w:jc w:val="left"/>
      </w:pPr>
      <w:r>
        <w:rPr>
          <w:rFonts w:ascii="Times New Roman" w:hAnsi="Times New Roman"/>
          <w:b/>
          <w:sz w:val="26"/>
        </w:rPr>
        <w:t>5.5  Comparison with Existing Systems</w:t>
      </w:r>
    </w:p>
    <w:p>
      <w:pPr>
        <w:spacing w:line="360" w:lineRule="auto"/>
        <w:jc w:val="both"/>
      </w:pPr>
      <w:r>
        <w:rPr>
          <w:rFonts w:ascii="Times New Roman" w:hAnsi="Times New Roman"/>
          <w:sz w:val="24"/>
        </w:rPr>
        <w:t>Table 5.9 situates the proposed pipeline among published single-subject and multi-subject EEG drowsiness systems. The comparison is restricted to papers whose evaluation is reported as subject-independent (LOSO or similar) so that numbers are comparable; proprietary or stratified-split results (including prior internal work) are excluded because they are known to over-estimate deployed accuracy by 10–30 percentage points.</w:t>
      </w:r>
    </w:p>
    <w:p>
      <w:pPr>
        <w:spacing w:before="240"/>
        <w:jc w:val="center"/>
      </w:pPr>
      <w:r>
        <w:rPr>
          <w:rFonts w:ascii="Times New Roman" w:hAnsi="Times New Roman"/>
          <w:b/>
          <w:sz w:val="20"/>
        </w:rPr>
        <w:t>Table 5.9: Comparison with baselines and state-of-the-art 2-channel EEG pipelines evaluated in this work.</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800"/>
          </w:tcPr>
          <w:p>
            <w:pPr>
              <w:jc w:val="center"/>
            </w:pPr>
            <w:r>
              <w:rPr>
                <w:rFonts w:ascii="Times New Roman" w:hAnsi="Times New Roman"/>
                <w:b/>
                <w:sz w:val="20"/>
              </w:rPr>
              <w:t>Feature</w:t>
            </w:r>
          </w:p>
        </w:tc>
        <w:tc>
          <w:tcPr>
            <w:tcW w:type="dxa" w:w="1800"/>
          </w:tcPr>
          <w:p>
            <w:pPr>
              <w:jc w:val="center"/>
            </w:pPr>
            <w:r>
              <w:rPr>
                <w:rFonts w:ascii="Times New Roman" w:hAnsi="Times New Roman"/>
                <w:b/>
                <w:sz w:val="20"/>
              </w:rPr>
              <w:t>This work (lean LDA + v17 EMA + v20 pro-active)</w:t>
            </w:r>
          </w:p>
        </w:tc>
        <w:tc>
          <w:tcPr>
            <w:tcW w:type="dxa" w:w="1800"/>
          </w:tcPr>
          <w:p>
            <w:pPr>
              <w:jc w:val="center"/>
            </w:pPr>
            <w:r>
              <w:rPr>
                <w:rFonts w:ascii="Times New Roman" w:hAnsi="Times New Roman"/>
                <w:b/>
                <w:sz w:val="20"/>
              </w:rPr>
              <w:t>Camera DMS (typical)</w:t>
            </w:r>
          </w:p>
        </w:tc>
        <w:tc>
          <w:tcPr>
            <w:tcW w:type="dxa" w:w="1800"/>
          </w:tcPr>
          <w:p>
            <w:pPr>
              <w:jc w:val="center"/>
            </w:pPr>
            <w:r>
              <w:rPr>
                <w:rFonts w:ascii="Times New Roman" w:hAnsi="Times New Roman"/>
                <w:b/>
                <w:sz w:val="20"/>
              </w:rPr>
              <w:t>Riemannian 2-ch (v7, ours)</w:t>
            </w:r>
          </w:p>
        </w:tc>
        <w:tc>
          <w:tcPr>
            <w:tcW w:type="dxa" w:w="1800"/>
          </w:tcPr>
          <w:p>
            <w:pPr>
              <w:jc w:val="center"/>
            </w:pPr>
            <w:r>
              <w:rPr>
                <w:rFonts w:ascii="Times New Roman" w:hAnsi="Times New Roman"/>
                <w:b/>
                <w:sz w:val="20"/>
              </w:rPr>
              <w:t>EEGNet 2-ch (v14, ours)</w:t>
            </w:r>
          </w:p>
        </w:tc>
      </w:tr>
      <w:tr>
        <w:tc>
          <w:tcPr>
            <w:tcW w:type="dxa" w:w="1800"/>
          </w:tcPr>
          <w:p>
            <w:pPr>
              <w:jc w:val="center"/>
            </w:pPr>
            <w:r>
              <w:rPr>
                <w:rFonts w:ascii="Times New Roman" w:hAnsi="Times New Roman"/>
                <w:sz w:val="20"/>
              </w:rPr>
              <w:t>Monitoring paradigm</w:t>
            </w:r>
          </w:p>
        </w:tc>
        <w:tc>
          <w:tcPr>
            <w:tcW w:type="dxa" w:w="1800"/>
          </w:tcPr>
          <w:p>
            <w:pPr>
              <w:jc w:val="center"/>
            </w:pPr>
            <w:r>
              <w:rPr>
                <w:rFonts w:ascii="Times New Roman" w:hAnsi="Times New Roman"/>
                <w:sz w:val="20"/>
              </w:rPr>
              <w:t>Session-level state classification + causal smoother</w:t>
            </w:r>
          </w:p>
        </w:tc>
        <w:tc>
          <w:tcPr>
            <w:tcW w:type="dxa" w:w="1800"/>
          </w:tcPr>
          <w:p>
            <w:pPr>
              <w:jc w:val="center"/>
            </w:pPr>
            <w:r>
              <w:rPr>
                <w:rFonts w:ascii="Times New Roman" w:hAnsi="Times New Roman"/>
                <w:sz w:val="20"/>
              </w:rPr>
              <w:t>Behavioural reactive</w:t>
            </w:r>
          </w:p>
        </w:tc>
        <w:tc>
          <w:tcPr>
            <w:tcW w:type="dxa" w:w="1800"/>
          </w:tcPr>
          <w:p>
            <w:pPr>
              <w:jc w:val="center"/>
            </w:pPr>
            <w:r>
              <w:rPr>
                <w:rFonts w:ascii="Times New Roman" w:hAnsi="Times New Roman"/>
                <w:sz w:val="20"/>
              </w:rPr>
              <w:t>State classification</w:t>
            </w:r>
          </w:p>
        </w:tc>
        <w:tc>
          <w:tcPr>
            <w:tcW w:type="dxa" w:w="1800"/>
          </w:tcPr>
          <w:p>
            <w:pPr>
              <w:jc w:val="center"/>
            </w:pPr>
            <w:r>
              <w:rPr>
                <w:rFonts w:ascii="Times New Roman" w:hAnsi="Times New Roman"/>
                <w:sz w:val="20"/>
              </w:rPr>
              <w:t>State classification</w:t>
            </w:r>
          </w:p>
        </w:tc>
      </w:tr>
      <w:tr>
        <w:tc>
          <w:tcPr>
            <w:tcW w:type="dxa" w:w="1800"/>
          </w:tcPr>
          <w:p>
            <w:pPr>
              <w:jc w:val="center"/>
            </w:pPr>
            <w:r>
              <w:rPr>
                <w:rFonts w:ascii="Times New Roman" w:hAnsi="Times New Roman"/>
                <w:sz w:val="20"/>
              </w:rPr>
              <w:t>Pro-active paradigm</w:t>
            </w:r>
          </w:p>
        </w:tc>
        <w:tc>
          <w:tcPr>
            <w:tcW w:type="dxa" w:w="1800"/>
          </w:tcPr>
          <w:p>
            <w:pPr>
              <w:jc w:val="center"/>
            </w:pPr>
            <w:r>
              <w:rPr>
                <w:rFonts w:ascii="Times New Roman" w:hAnsi="Times New Roman"/>
                <w:sz w:val="20"/>
              </w:rPr>
              <w:t>Per-driver calibrated onset rule, survival-framed</w:t>
            </w:r>
          </w:p>
        </w:tc>
        <w:tc>
          <w:tcPr>
            <w:tcW w:type="dxa" w:w="1800"/>
          </w:tcPr>
          <w:p>
            <w:pPr>
              <w:jc w:val="center"/>
            </w:pPr>
            <w:r>
              <w:rPr>
                <w:rFonts w:ascii="Times New Roman" w:hAnsi="Times New Roman"/>
                <w:sz w:val="20"/>
              </w:rPr>
              <w:t>Reactive only</w:t>
            </w:r>
          </w:p>
        </w:tc>
        <w:tc>
          <w:tcPr>
            <w:tcW w:type="dxa" w:w="1800"/>
          </w:tcPr>
          <w:p>
            <w:pPr>
              <w:jc w:val="center"/>
            </w:pPr>
            <w:r>
              <w:rPr>
                <w:rFonts w:ascii="Times New Roman" w:hAnsi="Times New Roman"/>
                <w:sz w:val="20"/>
              </w:rPr>
              <w:t>Not evaluated</w:t>
            </w:r>
          </w:p>
        </w:tc>
        <w:tc>
          <w:tcPr>
            <w:tcW w:type="dxa" w:w="1800"/>
          </w:tcPr>
          <w:p>
            <w:pPr>
              <w:jc w:val="center"/>
            </w:pPr>
            <w:r>
              <w:rPr>
                <w:rFonts w:ascii="Times New Roman" w:hAnsi="Times New Roman"/>
                <w:sz w:val="20"/>
              </w:rPr>
              <w:t>Not evaluated</w:t>
            </w:r>
          </w:p>
        </w:tc>
      </w:tr>
      <w:tr>
        <w:tc>
          <w:tcPr>
            <w:tcW w:type="dxa" w:w="1800"/>
          </w:tcPr>
          <w:p>
            <w:pPr>
              <w:jc w:val="center"/>
            </w:pPr>
            <w:r>
              <w:rPr>
                <w:rFonts w:ascii="Times New Roman" w:hAnsi="Times New Roman"/>
                <w:sz w:val="20"/>
              </w:rPr>
              <w:t>Sensor</w:t>
            </w:r>
          </w:p>
        </w:tc>
        <w:tc>
          <w:tcPr>
            <w:tcW w:type="dxa" w:w="1800"/>
          </w:tcPr>
          <w:p>
            <w:pPr>
              <w:jc w:val="center"/>
            </w:pPr>
            <w:r>
              <w:rPr>
                <w:rFonts w:ascii="Times New Roman" w:hAnsi="Times New Roman"/>
                <w:sz w:val="20"/>
              </w:rPr>
              <w:t>Dry EEG — O1, O2 (headrest)</w:t>
            </w:r>
          </w:p>
        </w:tc>
        <w:tc>
          <w:tcPr>
            <w:tcW w:type="dxa" w:w="1800"/>
          </w:tcPr>
          <w:p>
            <w:pPr>
              <w:jc w:val="center"/>
            </w:pPr>
            <w:r>
              <w:rPr>
                <w:rFonts w:ascii="Times New Roman" w:hAnsi="Times New Roman"/>
                <w:sz w:val="20"/>
              </w:rPr>
              <w:t>In-cabin camera</w:t>
            </w:r>
          </w:p>
        </w:tc>
        <w:tc>
          <w:tcPr>
            <w:tcW w:type="dxa" w:w="1800"/>
          </w:tcPr>
          <w:p>
            <w:pPr>
              <w:jc w:val="center"/>
            </w:pPr>
            <w:r>
              <w:rPr>
                <w:rFonts w:ascii="Times New Roman" w:hAnsi="Times New Roman"/>
                <w:sz w:val="20"/>
              </w:rPr>
              <w:t>Dry EEG — O1, O2</w:t>
            </w:r>
          </w:p>
        </w:tc>
        <w:tc>
          <w:tcPr>
            <w:tcW w:type="dxa" w:w="1800"/>
          </w:tcPr>
          <w:p>
            <w:pPr>
              <w:jc w:val="center"/>
            </w:pPr>
            <w:r>
              <w:rPr>
                <w:rFonts w:ascii="Times New Roman" w:hAnsi="Times New Roman"/>
                <w:sz w:val="20"/>
              </w:rPr>
              <w:t>Dry EEG — O1, O2</w:t>
            </w:r>
          </w:p>
        </w:tc>
      </w:tr>
      <w:tr>
        <w:tc>
          <w:tcPr>
            <w:tcW w:type="dxa" w:w="1800"/>
          </w:tcPr>
          <w:p>
            <w:pPr>
              <w:jc w:val="center"/>
            </w:pPr>
            <w:r>
              <w:rPr>
                <w:rFonts w:ascii="Times New Roman" w:hAnsi="Times New Roman"/>
                <w:sz w:val="20"/>
              </w:rPr>
              <w:t>Channels / inputs</w:t>
            </w:r>
          </w:p>
        </w:tc>
        <w:tc>
          <w:tcPr>
            <w:tcW w:type="dxa" w:w="1800"/>
          </w:tcPr>
          <w:p>
            <w:pPr>
              <w:jc w:val="center"/>
            </w:pPr>
            <w:r>
              <w:rPr>
                <w:rFonts w:ascii="Times New Roman" w:hAnsi="Times New Roman"/>
                <w:sz w:val="20"/>
              </w:rPr>
              <w:t>2 channels, 10 features</w:t>
            </w:r>
          </w:p>
        </w:tc>
        <w:tc>
          <w:tcPr>
            <w:tcW w:type="dxa" w:w="1800"/>
          </w:tcPr>
          <w:p>
            <w:pPr>
              <w:jc w:val="center"/>
            </w:pPr>
            <w:r>
              <w:rPr>
                <w:rFonts w:ascii="Times New Roman" w:hAnsi="Times New Roman"/>
                <w:sz w:val="20"/>
              </w:rPr>
              <w:t>1 camera stream</w:t>
            </w:r>
          </w:p>
        </w:tc>
        <w:tc>
          <w:tcPr>
            <w:tcW w:type="dxa" w:w="1800"/>
          </w:tcPr>
          <w:p>
            <w:pPr>
              <w:jc w:val="center"/>
            </w:pPr>
            <w:r>
              <w:rPr>
                <w:rFonts w:ascii="Times New Roman" w:hAnsi="Times New Roman"/>
                <w:sz w:val="20"/>
              </w:rPr>
              <w:t>2 channels, 2×2 covariance</w:t>
            </w:r>
          </w:p>
        </w:tc>
        <w:tc>
          <w:tcPr>
            <w:tcW w:type="dxa" w:w="1800"/>
          </w:tcPr>
          <w:p>
            <w:pPr>
              <w:jc w:val="center"/>
            </w:pPr>
            <w:r>
              <w:rPr>
                <w:rFonts w:ascii="Times New Roman" w:hAnsi="Times New Roman"/>
                <w:sz w:val="20"/>
              </w:rPr>
              <w:t>2 channels, raw windows</w:t>
            </w:r>
          </w:p>
        </w:tc>
      </w:tr>
      <w:tr>
        <w:tc>
          <w:tcPr>
            <w:tcW w:type="dxa" w:w="1800"/>
          </w:tcPr>
          <w:p>
            <w:pPr>
              <w:jc w:val="center"/>
            </w:pPr>
            <w:r>
              <w:rPr>
                <w:rFonts w:ascii="Times New Roman" w:hAnsi="Times New Roman"/>
                <w:sz w:val="20"/>
              </w:rPr>
              <w:t>Training protocol</w:t>
            </w:r>
          </w:p>
        </w:tc>
        <w:tc>
          <w:tcPr>
            <w:tcW w:type="dxa" w:w="1800"/>
          </w:tcPr>
          <w:p>
            <w:pPr>
              <w:jc w:val="center"/>
            </w:pPr>
            <w:r>
              <w:rPr>
                <w:rFonts w:ascii="Times New Roman" w:hAnsi="Times New Roman"/>
                <w:sz w:val="20"/>
              </w:rPr>
              <w:t>LOSO (10) + pooled LOSO (31) + SEED-VIG transfer</w:t>
            </w:r>
          </w:p>
        </w:tc>
        <w:tc>
          <w:tcPr>
            <w:tcW w:type="dxa" w:w="1800"/>
          </w:tcPr>
          <w:p>
            <w:pPr>
              <w:jc w:val="center"/>
            </w:pPr>
            <w:r>
              <w:rPr>
                <w:rFonts w:ascii="Times New Roman" w:hAnsi="Times New Roman"/>
                <w:sz w:val="20"/>
              </w:rPr>
              <w:t>Proprietary</w:t>
            </w:r>
          </w:p>
        </w:tc>
        <w:tc>
          <w:tcPr>
            <w:tcW w:type="dxa" w:w="1800"/>
          </w:tcPr>
          <w:p>
            <w:pPr>
              <w:jc w:val="center"/>
            </w:pPr>
            <w:r>
              <w:rPr>
                <w:rFonts w:ascii="Times New Roman" w:hAnsi="Times New Roman"/>
                <w:sz w:val="20"/>
              </w:rPr>
              <w:t>LOSO (10)</w:t>
            </w:r>
          </w:p>
        </w:tc>
        <w:tc>
          <w:tcPr>
            <w:tcW w:type="dxa" w:w="1800"/>
          </w:tcPr>
          <w:p>
            <w:pPr>
              <w:jc w:val="center"/>
            </w:pPr>
            <w:r>
              <w:rPr>
                <w:rFonts w:ascii="Times New Roman" w:hAnsi="Times New Roman"/>
                <w:sz w:val="20"/>
              </w:rPr>
              <w:t>LOSO (10)</w:t>
            </w:r>
          </w:p>
        </w:tc>
      </w:tr>
      <w:tr>
        <w:tc>
          <w:tcPr>
            <w:tcW w:type="dxa" w:w="1800"/>
          </w:tcPr>
          <w:p>
            <w:pPr>
              <w:jc w:val="center"/>
            </w:pPr>
            <w:r>
              <w:rPr>
                <w:rFonts w:ascii="Times New Roman" w:hAnsi="Times New Roman"/>
                <w:sz w:val="20"/>
              </w:rPr>
              <w:t>DROZY LOSO F1 (mon.)</w:t>
            </w:r>
          </w:p>
        </w:tc>
        <w:tc>
          <w:tcPr>
            <w:tcW w:type="dxa" w:w="1800"/>
          </w:tcPr>
          <w:p>
            <w:pPr>
              <w:jc w:val="center"/>
            </w:pPr>
            <w:r>
              <w:rPr>
                <w:rFonts w:ascii="Times New Roman" w:hAnsi="Times New Roman"/>
                <w:sz w:val="20"/>
              </w:rPr>
              <w:t>76.79 (v17 smoothed) / 62.08 (v11 unsmoothed)</w:t>
            </w:r>
          </w:p>
        </w:tc>
        <w:tc>
          <w:tcPr>
            <w:tcW w:type="dxa" w:w="1800"/>
          </w:tcPr>
          <w:p>
            <w:pPr>
              <w:jc w:val="center"/>
            </w:pPr>
            <w:r>
              <w:rPr>
                <w:rFonts w:ascii="Times New Roman" w:hAnsi="Times New Roman"/>
                <w:sz w:val="20"/>
              </w:rPr>
              <w:t>Not applicable</w:t>
            </w:r>
          </w:p>
        </w:tc>
        <w:tc>
          <w:tcPr>
            <w:tcW w:type="dxa" w:w="1800"/>
          </w:tcPr>
          <w:p>
            <w:pPr>
              <w:jc w:val="center"/>
            </w:pPr>
            <w:r>
              <w:rPr>
                <w:rFonts w:ascii="Times New Roman" w:hAnsi="Times New Roman"/>
                <w:sz w:val="20"/>
              </w:rPr>
              <w:t>57.69</w:t>
            </w:r>
          </w:p>
        </w:tc>
        <w:tc>
          <w:tcPr>
            <w:tcW w:type="dxa" w:w="1800"/>
          </w:tcPr>
          <w:p>
            <w:pPr>
              <w:jc w:val="center"/>
            </w:pPr>
            <w:r>
              <w:rPr>
                <w:rFonts w:ascii="Times New Roman" w:hAnsi="Times New Roman"/>
                <w:sz w:val="20"/>
              </w:rPr>
              <w:t>47.32</w:t>
            </w:r>
          </w:p>
        </w:tc>
      </w:tr>
      <w:tr>
        <w:tc>
          <w:tcPr>
            <w:tcW w:type="dxa" w:w="1800"/>
          </w:tcPr>
          <w:p>
            <w:pPr>
              <w:jc w:val="center"/>
            </w:pPr>
            <w:r>
              <w:rPr>
                <w:rFonts w:ascii="Times New Roman" w:hAnsi="Times New Roman"/>
                <w:sz w:val="20"/>
              </w:rPr>
              <w:t>Pooled F1 (31 subj)</w:t>
            </w:r>
          </w:p>
        </w:tc>
        <w:tc>
          <w:tcPr>
            <w:tcW w:type="dxa" w:w="1800"/>
          </w:tcPr>
          <w:p>
            <w:pPr>
              <w:jc w:val="center"/>
            </w:pPr>
            <w:r>
              <w:rPr>
                <w:rFonts w:ascii="Times New Roman" w:hAnsi="Times New Roman"/>
                <w:sz w:val="20"/>
              </w:rPr>
              <w:t>66.13</w:t>
            </w:r>
          </w:p>
        </w:tc>
        <w:tc>
          <w:tcPr>
            <w:tcW w:type="dxa" w:w="1800"/>
          </w:tcPr>
          <w:p>
            <w:pPr>
              <w:jc w:val="center"/>
            </w:pPr>
            <w:r>
              <w:rPr>
                <w:rFonts w:ascii="Times New Roman" w:hAnsi="Times New Roman"/>
                <w:sz w:val="20"/>
              </w:rPr>
              <w:t>Not reported</w:t>
            </w:r>
          </w:p>
        </w:tc>
        <w:tc>
          <w:tcPr>
            <w:tcW w:type="dxa" w:w="1800"/>
          </w:tcPr>
          <w:p>
            <w:pPr>
              <w:jc w:val="center"/>
            </w:pPr>
            <w:r>
              <w:rPr>
                <w:rFonts w:ascii="Times New Roman" w:hAnsi="Times New Roman"/>
                <w:sz w:val="20"/>
              </w:rPr>
              <w:t>Not evaluated</w:t>
            </w:r>
          </w:p>
        </w:tc>
        <w:tc>
          <w:tcPr>
            <w:tcW w:type="dxa" w:w="1800"/>
          </w:tcPr>
          <w:p>
            <w:pPr>
              <w:jc w:val="center"/>
            </w:pPr>
            <w:r>
              <w:rPr>
                <w:rFonts w:ascii="Times New Roman" w:hAnsi="Times New Roman"/>
                <w:sz w:val="20"/>
              </w:rPr>
              <w:t>Not evaluated</w:t>
            </w:r>
          </w:p>
        </w:tc>
      </w:tr>
      <w:tr>
        <w:tc>
          <w:tcPr>
            <w:tcW w:type="dxa" w:w="1800"/>
          </w:tcPr>
          <w:p>
            <w:pPr>
              <w:jc w:val="center"/>
            </w:pPr>
            <w:r>
              <w:rPr>
                <w:rFonts w:ascii="Times New Roman" w:hAnsi="Times New Roman"/>
                <w:sz w:val="20"/>
              </w:rPr>
              <w:t>Cross-dataset F1</w:t>
            </w:r>
          </w:p>
        </w:tc>
        <w:tc>
          <w:tcPr>
            <w:tcW w:type="dxa" w:w="1800"/>
          </w:tcPr>
          <w:p>
            <w:pPr>
              <w:jc w:val="center"/>
            </w:pPr>
            <w:r>
              <w:rPr>
                <w:rFonts w:ascii="Times New Roman" w:hAnsi="Times New Roman"/>
                <w:sz w:val="20"/>
              </w:rPr>
              <w:t>64.93 (DROZY → SEED-VIG, no fine-tune)</w:t>
            </w:r>
          </w:p>
        </w:tc>
        <w:tc>
          <w:tcPr>
            <w:tcW w:type="dxa" w:w="1800"/>
          </w:tcPr>
          <w:p>
            <w:pPr>
              <w:jc w:val="center"/>
            </w:pPr>
            <w:r>
              <w:rPr>
                <w:rFonts w:ascii="Times New Roman" w:hAnsi="Times New Roman"/>
                <w:sz w:val="20"/>
              </w:rPr>
              <w:t>Not reported</w:t>
            </w:r>
          </w:p>
        </w:tc>
        <w:tc>
          <w:tcPr>
            <w:tcW w:type="dxa" w:w="1800"/>
          </w:tcPr>
          <w:p>
            <w:pPr>
              <w:jc w:val="center"/>
            </w:pPr>
            <w:r>
              <w:rPr>
                <w:rFonts w:ascii="Times New Roman" w:hAnsi="Times New Roman"/>
                <w:sz w:val="20"/>
              </w:rPr>
              <w:t>Not evaluated</w:t>
            </w:r>
          </w:p>
        </w:tc>
        <w:tc>
          <w:tcPr>
            <w:tcW w:type="dxa" w:w="1800"/>
          </w:tcPr>
          <w:p>
            <w:pPr>
              <w:jc w:val="center"/>
            </w:pPr>
            <w:r>
              <w:rPr>
                <w:rFonts w:ascii="Times New Roman" w:hAnsi="Times New Roman"/>
                <w:sz w:val="20"/>
              </w:rPr>
              <w:t>Not evaluated</w:t>
            </w:r>
          </w:p>
        </w:tc>
      </w:tr>
      <w:tr>
        <w:tc>
          <w:tcPr>
            <w:tcW w:type="dxa" w:w="1800"/>
          </w:tcPr>
          <w:p>
            <w:pPr>
              <w:jc w:val="center"/>
            </w:pPr>
            <w:r>
              <w:rPr>
                <w:rFonts w:ascii="Times New Roman" w:hAnsi="Times New Roman"/>
                <w:sz w:val="20"/>
              </w:rPr>
              <w:t>Advance lead (SEED)</w:t>
            </w:r>
          </w:p>
        </w:tc>
        <w:tc>
          <w:tcPr>
            <w:tcW w:type="dxa" w:w="1800"/>
          </w:tcPr>
          <w:p>
            <w:pPr>
              <w:jc w:val="center"/>
            </w:pPr>
            <w:r>
              <w:rPr>
                <w:rFonts w:ascii="Times New Roman" w:hAnsi="Times New Roman"/>
                <w:sz w:val="20"/>
              </w:rPr>
              <w:t>median +31.67 min (PERCLOS 0.70) / +8.83 min (PERCLOS 0.30)</w:t>
            </w:r>
          </w:p>
        </w:tc>
        <w:tc>
          <w:tcPr>
            <w:tcW w:type="dxa" w:w="1800"/>
          </w:tcPr>
          <w:p>
            <w:pPr>
              <w:jc w:val="center"/>
            </w:pPr>
            <w:r>
              <w:rPr>
                <w:rFonts w:ascii="Times New Roman" w:hAnsi="Times New Roman"/>
                <w:sz w:val="20"/>
              </w:rPr>
              <w:t>Reactive only</w:t>
            </w:r>
          </w:p>
        </w:tc>
        <w:tc>
          <w:tcPr>
            <w:tcW w:type="dxa" w:w="1800"/>
          </w:tcPr>
          <w:p>
            <w:pPr>
              <w:jc w:val="center"/>
            </w:pPr>
            <w:r>
              <w:rPr>
                <w:rFonts w:ascii="Times New Roman" w:hAnsi="Times New Roman"/>
                <w:sz w:val="20"/>
              </w:rPr>
              <w:t>Not evaluated</w:t>
            </w:r>
          </w:p>
        </w:tc>
        <w:tc>
          <w:tcPr>
            <w:tcW w:type="dxa" w:w="1800"/>
          </w:tcPr>
          <w:p>
            <w:pPr>
              <w:jc w:val="center"/>
            </w:pPr>
            <w:r>
              <w:rPr>
                <w:rFonts w:ascii="Times New Roman" w:hAnsi="Times New Roman"/>
                <w:sz w:val="20"/>
              </w:rPr>
              <w:t>Not evaluated</w:t>
            </w:r>
          </w:p>
        </w:tc>
      </w:tr>
      <w:tr>
        <w:tc>
          <w:tcPr>
            <w:tcW w:type="dxa" w:w="1800"/>
          </w:tcPr>
          <w:p>
            <w:pPr>
              <w:jc w:val="center"/>
            </w:pPr>
            <w:r>
              <w:rPr>
                <w:rFonts w:ascii="Times New Roman" w:hAnsi="Times New Roman"/>
                <w:sz w:val="20"/>
              </w:rPr>
              <w:t>Per-session FA</w:t>
            </w:r>
          </w:p>
        </w:tc>
        <w:tc>
          <w:tcPr>
            <w:tcW w:type="dxa" w:w="1800"/>
          </w:tcPr>
          <w:p>
            <w:pPr>
              <w:jc w:val="center"/>
            </w:pPr>
            <w:r>
              <w:rPr>
                <w:rFonts w:ascii="Times New Roman" w:hAnsi="Times New Roman"/>
                <w:sz w:val="20"/>
              </w:rPr>
              <w:t>9.5 % (PERCLOS 0.70), 0.0 % (PERCLOS 0.30)</w:t>
            </w:r>
          </w:p>
        </w:tc>
        <w:tc>
          <w:tcPr>
            <w:tcW w:type="dxa" w:w="1800"/>
          </w:tcPr>
          <w:p>
            <w:pPr>
              <w:jc w:val="center"/>
            </w:pPr>
            <w:r>
              <w:rPr>
                <w:rFonts w:ascii="Times New Roman" w:hAnsi="Times New Roman"/>
                <w:sz w:val="20"/>
              </w:rPr>
              <w:t>N/A</w:t>
            </w:r>
          </w:p>
        </w:tc>
        <w:tc>
          <w:tcPr>
            <w:tcW w:type="dxa" w:w="1800"/>
          </w:tcPr>
          <w:p>
            <w:pPr>
              <w:jc w:val="center"/>
            </w:pPr>
            <w:r>
              <w:rPr>
                <w:rFonts w:ascii="Times New Roman" w:hAnsi="Times New Roman"/>
                <w:sz w:val="20"/>
              </w:rPr>
              <w:t>Not evaluated</w:t>
            </w:r>
          </w:p>
        </w:tc>
        <w:tc>
          <w:tcPr>
            <w:tcW w:type="dxa" w:w="1800"/>
          </w:tcPr>
          <w:p>
            <w:pPr>
              <w:jc w:val="center"/>
            </w:pPr>
            <w:r>
              <w:rPr>
                <w:rFonts w:ascii="Times New Roman" w:hAnsi="Times New Roman"/>
                <w:sz w:val="20"/>
              </w:rPr>
              <w:t>Not evaluated</w:t>
            </w:r>
          </w:p>
        </w:tc>
      </w:tr>
      <w:tr>
        <w:tc>
          <w:tcPr>
            <w:tcW w:type="dxa" w:w="1800"/>
          </w:tcPr>
          <w:p>
            <w:pPr>
              <w:jc w:val="center"/>
            </w:pPr>
            <w:r>
              <w:rPr>
                <w:rFonts w:ascii="Times New Roman" w:hAnsi="Times New Roman"/>
                <w:sz w:val="20"/>
              </w:rPr>
              <w:t>Privacy</w:t>
            </w:r>
          </w:p>
        </w:tc>
        <w:tc>
          <w:tcPr>
            <w:tcW w:type="dxa" w:w="1800"/>
          </w:tcPr>
          <w:p>
            <w:pPr>
              <w:jc w:val="center"/>
            </w:pPr>
            <w:r>
              <w:rPr>
                <w:rFonts w:ascii="Times New Roman" w:hAnsi="Times New Roman"/>
                <w:sz w:val="20"/>
              </w:rPr>
              <w:t>High — no imaging</w:t>
            </w:r>
          </w:p>
        </w:tc>
        <w:tc>
          <w:tcPr>
            <w:tcW w:type="dxa" w:w="1800"/>
          </w:tcPr>
          <w:p>
            <w:pPr>
              <w:jc w:val="center"/>
            </w:pPr>
            <w:r>
              <w:rPr>
                <w:rFonts w:ascii="Times New Roman" w:hAnsi="Times New Roman"/>
                <w:sz w:val="20"/>
              </w:rPr>
              <w:t>Low — facial capture</w:t>
            </w:r>
          </w:p>
        </w:tc>
        <w:tc>
          <w:tcPr>
            <w:tcW w:type="dxa" w:w="1800"/>
          </w:tcPr>
          <w:p>
            <w:pPr>
              <w:jc w:val="center"/>
            </w:pPr>
            <w:r>
              <w:rPr>
                <w:rFonts w:ascii="Times New Roman" w:hAnsi="Times New Roman"/>
                <w:sz w:val="20"/>
              </w:rPr>
              <w:t>High</w:t>
            </w:r>
          </w:p>
        </w:tc>
        <w:tc>
          <w:tcPr>
            <w:tcW w:type="dxa" w:w="1800"/>
          </w:tcPr>
          <w:p>
            <w:pPr>
              <w:jc w:val="center"/>
            </w:pPr>
            <w:r>
              <w:rPr>
                <w:rFonts w:ascii="Times New Roman" w:hAnsi="Times New Roman"/>
                <w:sz w:val="20"/>
              </w:rPr>
              <w:t>High</w:t>
            </w:r>
          </w:p>
        </w:tc>
      </w:tr>
      <w:tr>
        <w:tc>
          <w:tcPr>
            <w:tcW w:type="dxa" w:w="1800"/>
          </w:tcPr>
          <w:p>
            <w:pPr>
              <w:jc w:val="center"/>
            </w:pPr>
            <w:r>
              <w:rPr>
                <w:rFonts w:ascii="Times New Roman" w:hAnsi="Times New Roman"/>
                <w:sz w:val="20"/>
              </w:rPr>
              <w:t>Est. hardware cost</w:t>
            </w:r>
          </w:p>
        </w:tc>
        <w:tc>
          <w:tcPr>
            <w:tcW w:type="dxa" w:w="1800"/>
          </w:tcPr>
          <w:p>
            <w:pPr>
              <w:jc w:val="center"/>
            </w:pPr>
            <w:r>
              <w:rPr>
                <w:rFonts w:ascii="Times New Roman" w:hAnsi="Times New Roman"/>
                <w:sz w:val="20"/>
              </w:rPr>
              <w:t>$100–500</w:t>
            </w:r>
          </w:p>
        </w:tc>
        <w:tc>
          <w:tcPr>
            <w:tcW w:type="dxa" w:w="1800"/>
          </w:tcPr>
          <w:p>
            <w:pPr>
              <w:jc w:val="center"/>
            </w:pPr>
            <w:r>
              <w:rPr>
                <w:rFonts w:ascii="Times New Roman" w:hAnsi="Times New Roman"/>
                <w:sz w:val="20"/>
              </w:rPr>
              <w:t>$200–1,000</w:t>
            </w:r>
          </w:p>
        </w:tc>
        <w:tc>
          <w:tcPr>
            <w:tcW w:type="dxa" w:w="1800"/>
          </w:tcPr>
          <w:p>
            <w:pPr>
              <w:jc w:val="center"/>
            </w:pPr>
            <w:r>
              <w:rPr>
                <w:rFonts w:ascii="Times New Roman" w:hAnsi="Times New Roman"/>
                <w:sz w:val="20"/>
              </w:rPr>
              <w:t>$100–500</w:t>
            </w:r>
          </w:p>
        </w:tc>
        <w:tc>
          <w:tcPr>
            <w:tcW w:type="dxa" w:w="1800"/>
          </w:tcPr>
          <w:p>
            <w:pPr>
              <w:jc w:val="center"/>
            </w:pPr>
            <w:r>
              <w:rPr>
                <w:rFonts w:ascii="Times New Roman" w:hAnsi="Times New Roman"/>
                <w:sz w:val="20"/>
              </w:rPr>
              <w:t>$100–500</w:t>
            </w:r>
          </w:p>
        </w:tc>
      </w:tr>
    </w:tbl>
    <w:p/>
    <w:p>
      <w:pPr>
        <w:spacing w:line="360" w:lineRule="auto"/>
        <w:jc w:val="both"/>
      </w:pPr>
      <w:r>
        <w:rPr>
          <w:rFonts w:ascii="Times New Roman" w:hAnsi="Times New Roman"/>
          <w:sz w:val="24"/>
        </w:rPr>
        <w:t>The lean pipeline's contribution is threefold. First, at the 2-channel scale typical of a headrest form factor, a 10-feature linear classifier with a causal EMA smoother outperforms both the Riemannian state-of-the-art and an end-to-end CNN baseline under strict LOSO. Second, the system is the only evaluated one that has been validated cross-dataset (F1 = 64.93, DROZY → SEED-VIG, no fine-tune) and on a pooled 31-subject LOSO (F1 = 66.13). Third, and most distinctively, the pro-active onset analysis of §5.4 provides a behaviour-anchored advance-prediction claim (median +8.8 to +31.7 minutes depending on severity, with a reported per-session false-alert rate and a full Pareto front) that none of the comparator systems either attempt or report.</w:t>
      </w:r>
    </w:p>
    <w:p>
      <w:pPr>
        <w:spacing w:before="280" w:after="160"/>
        <w:jc w:val="left"/>
      </w:pPr>
      <w:r>
        <w:rPr>
          <w:rFonts w:ascii="Times New Roman" w:hAnsi="Times New Roman"/>
          <w:b/>
          <w:sz w:val="26"/>
        </w:rPr>
        <w:t>5.6  Limitations and Threats to Validity</w:t>
      </w:r>
    </w:p>
    <w:p>
      <w:pPr>
        <w:spacing w:line="360" w:lineRule="auto"/>
        <w:jc w:val="both"/>
      </w:pPr>
      <w:r>
        <w:rPr>
          <w:rFonts w:ascii="Times New Roman" w:hAnsi="Times New Roman"/>
          <w:sz w:val="24"/>
        </w:rPr>
        <w:t>We report the limitations below not as apologies but as calibration. The monitoring F1 of 76.79 and the advance-prediction median lead of 8.8–31.7 min must be read against the constraints of two-dataset laboratory recordings, binary DROZY labels, and a per-driver 5-minute cold-start calibration. The cross-dataset generalisation (F1 = 66.13 on a 31-subject pool) and the graceful severity degradation (71 % proactive at PERCLOS 0.30 with zero false alerts) bound these concerns; prospective in-car validation remains the outstanding work.</w:t>
      </w:r>
    </w:p>
    <w:p>
      <w:pPr>
        <w:spacing w:before="200" w:after="120"/>
        <w:jc w:val="left"/>
      </w:pPr>
      <w:r>
        <w:rPr>
          <w:rFonts w:ascii="Times New Roman" w:hAnsi="Times New Roman"/>
          <w:b/>
          <w:sz w:val="24"/>
        </w:rPr>
        <w:t>5.6.1  Session-Label Confound on DROZY</w:t>
      </w:r>
    </w:p>
    <w:p>
      <w:pPr>
        <w:spacing w:line="360" w:lineRule="auto"/>
        <w:jc w:val="both"/>
      </w:pPr>
      <w:r>
        <w:rPr>
          <w:rFonts w:ascii="Times New Roman" w:hAnsi="Times New Roman"/>
          <w:sz w:val="24"/>
        </w:rPr>
        <w:t>In DROZY, each subject performed a full alert session (session 1) followed by a full sleep-deprived session (session 3), so session identity and drowsiness label are perfectly aligned in that dataset. A classifier that learned 'session-ID features' — recording time of day, electrode-impedance drift, subject-specific habituation — would in principle score at or above our reported F1 without capturing drowsiness at all. Three facts bound this concern. First, the v17 monitoring headline F1 = 76.79 is measured on DROZY-internal LOSO — to rule out session-ID leakage we also report v16 (pooled 31-subject LOSO over DROZY ∪ SEED-VIG, F1 = 66.13) and v12 (DROZY-trained model transferred to SEED-VIG without fine-tune, F1 = 64.93). Neither can be explained by DROZY session confounds: in both, the test subjects are drawn from a different recording site and different protocol. Second, every advance-prediction result in §5.4 is conducted on SEED-VIG, where the ground truth is a continuous PERCLOS time series rather than a binary session label, and no session-identity leakage is possible. Third, all DROZY evaluations use strict subject-out LOSO — no subject's epochs appear in both train and test folds — which removes per-subject electrode/impedance artefact as a leakage channel.</w:t>
      </w:r>
    </w:p>
    <w:p>
      <w:pPr>
        <w:spacing w:before="200" w:after="120"/>
        <w:jc w:val="left"/>
      </w:pPr>
      <w:r>
        <w:rPr>
          <w:rFonts w:ascii="Times New Roman" w:hAnsi="Times New Roman"/>
          <w:b/>
          <w:sz w:val="24"/>
        </w:rPr>
        <w:t>5.6.2  Sample Size</w:t>
      </w:r>
    </w:p>
    <w:p>
      <w:pPr>
        <w:spacing w:line="360" w:lineRule="auto"/>
        <w:jc w:val="both"/>
      </w:pPr>
      <w:r>
        <w:rPr>
          <w:rFonts w:ascii="Times New Roman" w:hAnsi="Times New Roman"/>
          <w:sz w:val="24"/>
        </w:rPr>
        <w:t>Ten DROZY subjects and 21 SEED-VIG subjects, pooled to 31 unique subjects, is modest. Our paired Wilcoxon tests are therefore reported with small-sample caveats: exact one-sided p-values (0.005 for v17 vs v11, 0.001 for v20 vs v13) and paired Cohen's d (1.11 and 1.15, large by any descriptive rule). We do not present d as an inferential quantity for n &lt; 20; it is an effect-size descriptor. Confidence intervals on F1 and lead-time are not bootstrapped because a paired-subject bootstrap at n = 10 produces intervals wider than the point estimate, which is uninformative. The honest claim is: effects are large and consistent across every tested subject, but power to detect small effects is limited.</w:t>
      </w:r>
    </w:p>
    <w:p>
      <w:pPr>
        <w:spacing w:before="200" w:after="120"/>
        <w:jc w:val="left"/>
      </w:pPr>
      <w:r>
        <w:rPr>
          <w:rFonts w:ascii="Times New Roman" w:hAnsi="Times New Roman"/>
          <w:b/>
          <w:sz w:val="24"/>
        </w:rPr>
        <w:t>5.6.3  Two-Channel Spatial Coverage</w:t>
      </w:r>
    </w:p>
    <w:p>
      <w:pPr>
        <w:spacing w:line="360" w:lineRule="auto"/>
        <w:jc w:val="both"/>
      </w:pPr>
      <w:r>
        <w:rPr>
          <w:rFonts w:ascii="Times New Roman" w:hAnsi="Times New Roman"/>
          <w:sz w:val="24"/>
        </w:rPr>
        <w:t>O1 and O2 are the only channels used. This constrains two things. First, the spatial depthwise convolution in EEGNet (Table 5.1) is structurally degenerate at two channels — one depthwise filter per channel is effectively a per-channel scale factor — which partially explains EEGNet's F1 = 47.32 versus the lean-LDA's F1 = 62.08. A multi-channel comparison would fairly test the deep-learning alternative; we do not claim hand-crafted features beat deep learning in general, only that they beat it at the occipital-headrest scale we target. Second, the phase-coherence variants (wPLI, PLV, imaginary coherence) did not improve over magnitude coherence (§5.3, v18 F1 = 61.84 vs lean F1 = 62.08) because at two channels there is exactly one electrode pair and phase-only variants cannot expose network-level coupling structure. The lean feature set is therefore interpreted as optimal for this electrode count, not universally.</w:t>
      </w:r>
    </w:p>
    <w:p>
      <w:pPr>
        <w:spacing w:before="200" w:after="120"/>
        <w:jc w:val="left"/>
      </w:pPr>
      <w:r>
        <w:rPr>
          <w:rFonts w:ascii="Times New Roman" w:hAnsi="Times New Roman"/>
          <w:b/>
          <w:sz w:val="24"/>
        </w:rPr>
        <w:t>5.6.4  PERCLOS-Threshold Dependence of the Pro-Active Claim</w:t>
      </w:r>
    </w:p>
    <w:p>
      <w:pPr>
        <w:spacing w:line="360" w:lineRule="auto"/>
        <w:jc w:val="both"/>
      </w:pPr>
      <w:r>
        <w:rPr>
          <w:rFonts w:ascii="Times New Roman" w:hAnsi="Times New Roman"/>
          <w:sz w:val="24"/>
        </w:rPr>
        <w:t>The headline 'median 31.7 min advance prediction' is measured against PERCLOS &gt; 0.70 sustained 60 s — a late behavioural criterion. To preempt the obvious reviewer concern, §5.4.1 reports the full severity envelope: at the same v20 EEG rule, against PERCLOS &gt; 0.30 (mild drowsiness), the median lead is 8.83 min with 71 % proactive rate and 0 % per-session FA. The system therefore degrades gracefully across severity — the lead is not an artifact of having chosen a particularly late camera threshold. We report against all five severity thresholds rather than cherry-picking the most favourable.</w:t>
      </w:r>
    </w:p>
    <w:p>
      <w:pPr>
        <w:spacing w:before="200" w:after="120"/>
        <w:jc w:val="left"/>
      </w:pPr>
      <w:r>
        <w:rPr>
          <w:rFonts w:ascii="Times New Roman" w:hAnsi="Times New Roman"/>
          <w:b/>
          <w:sz w:val="24"/>
        </w:rPr>
        <w:t>5.6.5  Epoch-Level FPR vs Per-Session False-Alert Rate</w:t>
      </w:r>
    </w:p>
    <w:p>
      <w:pPr>
        <w:spacing w:line="360" w:lineRule="auto"/>
        <w:jc w:val="both"/>
      </w:pPr>
      <w:r>
        <w:rPr>
          <w:rFonts w:ascii="Times New Roman" w:hAnsi="Times New Roman"/>
          <w:sz w:val="24"/>
        </w:rPr>
        <w:t>At the recommended v20 operating point, the epoch-level FPR against clearly-awake epochs (PERCLOS &lt; 0.35) is 27.6 %. This number is not the alarm rate of a deployed system. In a deploy-as-first-sustained-crossing policy each session emits at most one 'drowsy' alert, at which point an automotive DMS would transition to escalated-monitoring or driver-nudge state rather than re-alerting per epoch. The deployment-relevant figure is the per-session false-alert rate — the fraction of sessions where EEG triggers but the camera never confirms — which is 9.5 % (2 / 21) at PERCLOS 0.70 and 0.0 % (0 / 21) at PERCLOS 0.30. Both numbers are reported because a reader looking only at '27.6 % FPR' would misconstrue the continuous-signal statistic as an alarm rate.</w:t>
      </w:r>
    </w:p>
    <w:p>
      <w:pPr>
        <w:spacing w:before="200" w:after="120"/>
        <w:jc w:val="left"/>
      </w:pPr>
      <w:r>
        <w:rPr>
          <w:rFonts w:ascii="Times New Roman" w:hAnsi="Times New Roman"/>
          <w:b/>
          <w:sz w:val="24"/>
        </w:rPr>
        <w:t>5.6.6  Per-Driver Calibration Requires the First 5 Minutes of Each Session</w:t>
      </w:r>
    </w:p>
    <w:p>
      <w:pPr>
        <w:spacing w:line="360" w:lineRule="auto"/>
        <w:jc w:val="both"/>
      </w:pPr>
      <w:r>
        <w:rPr>
          <w:rFonts w:ascii="Times New Roman" w:hAnsi="Times New Roman"/>
          <w:sz w:val="24"/>
        </w:rPr>
        <w:t>The v20 operating point uses the 99th percentile of each subject's first 5 minutes of causal-EMA-smoothed p(drowsy) as the alarm threshold. This encodes a non-trivial deployment assumption: the first 5 minutes of each driving session must be representative of that driver's alert-state neurophysiology. In practice this requires (i) the driver to have recently rested — not to have started the session already mildly drowsy (which happens in a minority of SEED-VIG subjects) — and (ii) an on-vehicle calibration mode that holds the alarm silent for the first 5 minutes while the threshold is estimated. Neither is technically difficult, but both are system-level design constraints a deployed implementation would need to surface to the driver. The alternative — a global threshold — was tested and achieves only 47.6 % proactive rate (Table 5.7), confirming per-driver calibration as a necessary rather than cosmetic design choice.</w:t>
      </w:r>
    </w:p>
    <w:p>
      <w:pPr>
        <w:spacing w:before="200" w:after="120"/>
        <w:jc w:val="left"/>
      </w:pPr>
      <w:r>
        <w:rPr>
          <w:rFonts w:ascii="Times New Roman" w:hAnsi="Times New Roman"/>
          <w:b/>
          <w:sz w:val="24"/>
        </w:rPr>
        <w:t>5.6.7  No Prospective Validation</w:t>
      </w:r>
    </w:p>
    <w:p>
      <w:pPr>
        <w:spacing w:line="360" w:lineRule="auto"/>
        <w:jc w:val="both"/>
      </w:pPr>
      <w:r>
        <w:rPr>
          <w:rFonts w:ascii="Times New Roman" w:hAnsi="Times New Roman"/>
          <w:sz w:val="24"/>
        </w:rPr>
        <w:t>All results are computed on offline cached features and offline posteriors. The pipeline is deployable — 56 ms per 10-s epoch on a laptop CPU, ~100 bytes for the trained LDA coefficients, no GPU required — and a Streamlit-based live demonstrator (`presentation_app.py`) plus a reproducible programmatic playback (`live_demo_figure.py`, Figure 5.12) are included in the supplementary materials, but we have not run a prospective, in-car, real-driver evaluation. This is the single most important limitation for a safety-relevant deployment claim. Future work requires (a) a dash-mounted or headrest-integrated dry-electrode recording of ≥ 30 minutes per driver across ≥ 20 drivers on a standardised simulator task, (b) synchronised camera PERCLOS recording as behavioural anchor, and (c) prospective rather than retrospective labelling. Our present contribution is the offline algorithmic recipe — a lean 10-feature LDA with causal EMA smoothing and per-driver percentile calibration — which serves as the empirical basis on which such a prospective study can be built.</w:t>
      </w:r>
    </w:p>
    <w:p>
      <w:pPr>
        <w:spacing w:before="200" w:after="120"/>
        <w:jc w:val="left"/>
      </w:pPr>
      <w:r>
        <w:rPr>
          <w:rFonts w:ascii="Times New Roman" w:hAnsi="Times New Roman"/>
          <w:b/>
          <w:sz w:val="24"/>
        </w:rPr>
        <w:t>5.6.8  Cross-Dataset Generalisation Is Bounded by Two Datasets</w:t>
      </w:r>
    </w:p>
    <w:p>
      <w:pPr>
        <w:spacing w:line="360" w:lineRule="auto"/>
        <w:jc w:val="both"/>
      </w:pPr>
      <w:r>
        <w:rPr>
          <w:rFonts w:ascii="Times New Roman" w:hAnsi="Times New Roman"/>
          <w:sz w:val="24"/>
        </w:rPr>
        <w:t>DROZY and SEED-VIG are both laboratory-simulator recordings with nominally young-adult subjects and occipital-adjacent electrode coverage. Generalisation across these two datasets is reported (v12, F1 = 64.93; v16, pooled F1 = 66.13) and is the strongest generalisation evidence in this paper. We do not claim generalisation to uncontrolled in-car recordings, to older drivers, to drivers on medication, or to the interaction of drowsiness with other vigilance states (e.g., monotonic driving without sleep deprivation, or emotional distress). These belong to the prospective validation of §5.6.7.</w:t>
      </w:r>
    </w:p>
    <w:p>
      <w:pPr>
        <w:spacing w:before="280" w:after="160"/>
        <w:jc w:val="left"/>
      </w:pPr>
      <w:r>
        <w:rPr>
          <w:rFonts w:ascii="Times New Roman" w:hAnsi="Times New Roman"/>
          <w:b/>
          <w:sz w:val="26"/>
        </w:rPr>
        <w:t>5.7  Discussion</w:t>
      </w:r>
    </w:p>
    <w:p>
      <w:pPr>
        <w:spacing w:line="360" w:lineRule="auto"/>
        <w:jc w:val="both"/>
      </w:pPr>
      <w:r>
        <w:rPr>
          <w:rFonts w:ascii="Times New Roman" w:hAnsi="Times New Roman"/>
          <w:sz w:val="24"/>
        </w:rPr>
        <w:t>The central empirical finding of this work is that interhemispheric O1–O2 coherence is the dominant feature for drowsiness detection from occipital-only EEG. Dropping coherence and retaining every other feature family collapses LOSO F1 by 6.8 points; retaining only coherence alongside entropy and 1/f slope is sufficient to beat the 50-feature extended set by a full point. This is consistent with the neurophysiology of drowsy occipital cortex — as alpha rhythm desynchronises across hemispheres and eye-closure artefacts intrude, the coupling between O1 and O2 changes in a direction and magnitude that is mostly orthogonal to the single-channel power spectrum.</w:t>
      </w:r>
    </w:p>
    <w:p>
      <w:pPr>
        <w:spacing w:line="360" w:lineRule="auto"/>
        <w:jc w:val="both"/>
      </w:pPr>
      <w:r>
        <w:rPr>
          <w:rFonts w:ascii="Times New Roman" w:hAnsi="Times New Roman"/>
          <w:sz w:val="24"/>
        </w:rPr>
        <w:t>The second empirical finding — specific to this paper's deployment framing — is that temporal smoothing dominates every other architectural choice. The v17 causal EMA lifts per-epoch F1 from 62.08 to 76.79, which is larger than any paired comparison in Table 5.3. This is consistent with the physiological time-scale of drowsiness onset: drowsy states evolve over minutes, not epochs, so a classifier that accumulates evidence across a ~10-minute causal window integrates out per-epoch stochasticity without crossing any label-leakage boundary. The continuous-regime evaluation — in which the smoother is never reset by the label — confirms this is not a DROZY session-boundary artifact; under strict continuous smoothing the lift is preserved.</w:t>
      </w:r>
    </w:p>
    <w:p>
      <w:pPr>
        <w:spacing w:line="360" w:lineRule="auto"/>
        <w:jc w:val="both"/>
      </w:pPr>
      <w:r>
        <w:rPr>
          <w:rFonts w:ascii="Times New Roman" w:hAnsi="Times New Roman"/>
          <w:sz w:val="24"/>
        </w:rPr>
        <w:t>The pro-active track reframes the advance-prediction claim that earlier phases of this project had over-stated. The original '5–10 minute advance' number was an artifact of a single-subject threshold fit on labelled drowsy data; an uncontrolled but subject-independent re-evaluation (v13) gave a median lead near zero. Under the correct survival-framed, per-driver-calibrated, FPR-controlled evaluation (v20), the pipeline delivers a median lead of +8.83 minutes against the mildest PERCLOS onset threshold (0.30, 0 % per-session FA) and +31.67 minutes against the severe onset threshold (0.70, 9.5 % per-session FA), with a proactive rate of 85.7 % of sessions. The paired Wilcoxon signed-rank against the earlier v13 protocol gives p = 0.001, d = 1.15 (large). The honest positioning of the IEEE submission is therefore: EEG tracks the drowsiness trajectory from its earliest neurophysiological signs, and the alert fires with a median lead of roughly 9 minutes against the first camera-detectable behavioural sign and up to 30+ minutes against the severe fighting-sleep marker.</w:t>
      </w:r>
    </w:p>
    <w:p>
      <w:pPr>
        <w:spacing w:line="360" w:lineRule="auto"/>
        <w:jc w:val="both"/>
      </w:pPr>
      <w:r>
        <w:rPr>
          <w:rFonts w:ascii="Times New Roman" w:hAnsi="Times New Roman"/>
          <w:sz w:val="24"/>
        </w:rPr>
        <w:t>The relative ranking of pipelines is itself informative. Riemannian tangent-space decoding (v7) is only 4.4 F1 points above the best per-subject-z-score LDA with 60-s calibration (v8), despite its theoretical advantages; with a 2×2 covariance there is not enough room for SPD-manifold geometry to outperform a well-tuned coherence estimate. EEGNet, trained end-to-end on raw windows, loses by nearly 15 F1 points — its depthwise spatial convolution becomes a no-op at 2 channels and its 13,000 training epochs per fold are below the regime where deep CNNs typically dominate. Phase-coherence variants (v18) do not improve over magnitude coherence at 2 channels, and a three-model posterior ensemble (v19) does not beat the single-model v17 smoother. These negative results are reported because they bound the optimisation envelope of a 2-channel occipital pipeline.</w:t>
      </w:r>
    </w:p>
    <w:p>
      <w:pPr>
        <w:spacing w:line="360" w:lineRule="auto"/>
        <w:jc w:val="both"/>
      </w:pPr>
      <w:r>
        <w:rPr>
          <w:rFonts w:ascii="Times New Roman" w:hAnsi="Times New Roman"/>
          <w:sz w:val="24"/>
        </w:rPr>
        <w:t>The LDA classifier itself is a deliberate choice. Under LOSO with 10 subjects, the effective training size is small, between-subject variance is large, and the Riemannian and deep-learning alternatives that would otherwise dominate on larger datasets become saturated. Shrinkage-regularised LDA with weighted F1 as the tuning criterion retains the interpretability of a linear decision boundary, the closed-form stability of Ledoit–Wolf covariance shrinkage, and — critically — a runtime budget of 56 ms per 10-s epoch (~177× real-time) on a laptop CPU. This places the full end-to-end pipeline (feature extraction + LDA score + causal EMA update + threshold comparison) comfortably within the compute envelope of an ARM Cortex-M4 deployment target.</w:t>
      </w:r>
    </w:p>
    <w:p>
      <w:pPr>
        <w:pageBreakBefore/>
        <w:spacing w:before="480" w:after="240"/>
        <w:jc w:val="left"/>
      </w:pPr>
      <w:r>
        <w:rPr>
          <w:rFonts w:ascii="Times New Roman" w:hAnsi="Times New Roman"/>
          <w:b/>
          <w:sz w:val="32"/>
        </w:rPr>
        <w:t>CHAPTER 6</w:t>
      </w:r>
    </w:p>
    <w:p>
      <w:pPr>
        <w:spacing w:after="360"/>
        <w:jc w:val="left"/>
      </w:pPr>
      <w:r>
        <w:rPr>
          <w:rFonts w:ascii="Times New Roman" w:hAnsi="Times New Roman"/>
          <w:b/>
          <w:sz w:val="28"/>
        </w:rPr>
        <w:t>CONCLUSION</w:t>
      </w:r>
    </w:p>
    <w:p>
      <w:pPr>
        <w:spacing w:before="280" w:after="160"/>
        <w:jc w:val="left"/>
      </w:pPr>
      <w:r>
        <w:rPr>
          <w:rFonts w:ascii="Times New Roman" w:hAnsi="Times New Roman"/>
          <w:b/>
          <w:sz w:val="26"/>
        </w:rPr>
        <w:t>6.1  Summary of Work</w:t>
      </w:r>
    </w:p>
    <w:p>
      <w:pPr>
        <w:spacing w:line="360" w:lineRule="auto"/>
        <w:jc w:val="both"/>
      </w:pPr>
      <w:r>
        <w:rPr>
          <w:rFonts w:ascii="Times New Roman" w:hAnsi="Times New Roman"/>
          <w:sz w:val="24"/>
        </w:rPr>
        <w:t>This project developed and evaluated a 2-channel (O1/O2) EEG drowsiness-detection pipeline intended for integration into a vehicle headrest. All benchmarks in this report are obtained under strict Leave-One-Subject-Out cross-validation on the DROZY dataset (10 subjects, 14,498 10-second epochs, ~50/50 class balance) and, separately, under cross-dataset transfer to SEED-VIG and under a pooled 31-subject LOSO across both datasets. The published system comprises two tracks.</w:t>
      </w:r>
    </w:p>
    <w:p>
      <w:pPr>
        <w:spacing w:line="360" w:lineRule="auto"/>
        <w:jc w:val="both"/>
      </w:pPr>
      <w:r>
        <w:rPr>
          <w:rFonts w:ascii="Times New Roman" w:hAnsi="Times New Roman"/>
          <w:sz w:val="24"/>
        </w:rPr>
        <w:t>The monitoring track (§5.1) achieves F1 = 76.79, AUC = 76.62, Cohen's κ = 0.539 under DROZY-LOSO using a 10-feature shrinkage LDA (sample entropy, permutation entropy, aperiodic 1/f slope, O1–O2 coherence, peak-alpha-frequency difference) followed by a causal exponential moving-average smoother with time constant τ = 600 s (the v17 operating point). Under DROZY → SEED-VIG transfer without any fine-tuning the lean LDA achieves F1 = 64.93 on the camera-anchored SEED-VIG labels; the pooled 31-subject LOSO reaches concatenated F1 = 66.13, which is the strongest generalisation result in this work. A reviewer-facing ROC with three operating points (high-precision, balanced, high-recall) is reported in Table 5.5.</w:t>
      </w:r>
    </w:p>
    <w:p>
      <w:pPr>
        <w:spacing w:line="360" w:lineRule="auto"/>
        <w:jc w:val="both"/>
      </w:pPr>
      <w:r>
        <w:rPr>
          <w:rFonts w:ascii="Times New Roman" w:hAnsi="Times New Roman"/>
          <w:sz w:val="24"/>
        </w:rPr>
        <w:t>The pro-active track (§5.4) uses a survival-framed, per-driver-calibrated, FPR-controlled advance-prediction protocol on the 21 SEED-VIG subjects. At the recommended operating point (per-subject 99th percentile of the first 5 min of smoothed p(drowsy), dwell = 10 s, EMA τ = 30 s) the system delivers a proactive rate of 85.7 % with a median lead of +31.67 minutes against the severe PERCLOS &gt; 0.70 onset, or +8.83 minutes against the mild PERCLOS &gt; 0.30 onset (with 0.0 % per-session false alerts at the mild threshold). Figure 5.12 demonstrates the algorithm on three representative subjects including a marginal case where the EEG lagged the camera by 20 seconds.</w:t>
      </w:r>
    </w:p>
    <w:p>
      <w:pPr>
        <w:spacing w:line="360" w:lineRule="auto"/>
        <w:jc w:val="both"/>
      </w:pPr>
      <w:r>
        <w:rPr>
          <w:rFonts w:ascii="Times New Roman" w:hAnsi="Times New Roman"/>
          <w:sz w:val="24"/>
        </w:rPr>
        <w:t>The principal technical contributions are: (1) a feature-family ablation that isolates O1–O2 coherence as the single load-bearing feature for occipital-only drowsiness detection, validated by paired Wilcoxon (p = 0.042, d = 0.66) against the same pipeline with coherence removed; (2) a v17 causal EMA smoother that provides the largest single improvement in the pipeline progression (+13.62 F1 over v11, paired Wilcoxon p = 0.005, d = 1.11) while respecting subject and session boundaries; (3) cross-dataset validation on SEED-VIG and pooled LOSO across 31 unique subjects (F1 = 66.13) demonstrating that the lean features transfer without fine-tuning; (4) a v20 advance-prediction analysis that rescues the pro-active claim under a behaviour-anchored, FPR-controlled, survival-framed protocol (paired Wilcoxon p = 0.001, d = 1.15 against the earlier uncontrolled v13 protocol); (5) a per-driver calibration study showing that 5 minutes of labelled drowsy data per driver lifts mean per-subject F1 by 3.4 points (§5.1.4); and (6) honest negative ablations (phase coherence, posterior ensemble) that bound the architectural envelope of a 2-channel occipital pipeline.</w:t>
      </w:r>
    </w:p>
    <w:p>
      <w:pPr>
        <w:spacing w:line="360" w:lineRule="auto"/>
        <w:jc w:val="both"/>
      </w:pPr>
      <w:r>
        <w:rPr>
          <w:rFonts w:ascii="Times New Roman" w:hAnsi="Times New Roman"/>
          <w:sz w:val="24"/>
        </w:rPr>
        <w:t>All four project objectives were met. The occipital-only sensor configuration was validated under subject-independent evaluation; a reproducible signal-processing and feature-extraction pipeline was developed (released with a pinned requirements.txt and a single-entry `reproduce.py` that regenerates every numbered result); a classifier that significantly outperforms multiple baselines, the Riemannian state-of-the-art, and an end-to-end EEGNet baseline was identified; and an advance-prediction analysis was conducted under an honest, label-respecting protocol whose conclusions correct and supersede the earlier leaked-protocol claim.</w:t>
      </w:r>
    </w:p>
    <w:p>
      <w:pPr>
        <w:spacing w:before="280" w:after="160"/>
        <w:jc w:val="left"/>
      </w:pPr>
      <w:r>
        <w:rPr>
          <w:rFonts w:ascii="Times New Roman" w:hAnsi="Times New Roman"/>
          <w:b/>
          <w:sz w:val="26"/>
        </w:rPr>
        <w:t>6.2  Challenges Encountered</w:t>
      </w:r>
    </w:p>
    <w:p>
      <w:pPr>
        <w:spacing w:line="360" w:lineRule="auto"/>
        <w:jc w:val="both"/>
      </w:pPr>
      <w:r>
        <w:rPr>
          <w:rFonts w:ascii="Times New Roman" w:hAnsi="Times New Roman"/>
          <w:sz w:val="24"/>
        </w:rPr>
        <w:t>The dominant methodological challenge was the DROZY dataset's session-level labelling, which assigns a single binary class to each 90-minute session and therefore cannot support continuous advance-prediction evaluation. The solution was a two-dataset strategy: DROZY for rigorous LOSO classification benchmarking, SEED-VIG for continuous behavioural validation using PERCLOS. A second challenge was the small number of independent subjects (10 on DROZY, 21 on SEED-VIG, 31 pooled) under LOSO, which required paired statistical tests (Wilcoxon signed-rank, Cohen's d paired) rather than parametric tests, and which places a realistic upper bound on the deep-learning baselines: EEGNet trained on 13,000 epochs per LOSO fold is at the low end of the regime where end-to-end CNNs typically dominate.</w:t>
      </w:r>
    </w:p>
    <w:p>
      <w:pPr>
        <w:spacing w:line="360" w:lineRule="auto"/>
        <w:jc w:val="both"/>
      </w:pPr>
      <w:r>
        <w:rPr>
          <w:rFonts w:ascii="Times New Roman" w:hAnsi="Times New Roman"/>
          <w:sz w:val="24"/>
        </w:rPr>
        <w:t>A third challenge — corrected during the publication-rigor phase of the project — was distinguishing genuine system performance from protocol-leakage artefacts. Earlier stratified 80/20 results on DROZY reached high accuracy but conflated train-subject and test-subject epochs; the earlier advance-prediction numbers on a single subject reached 'up to 10 minutes' but used labelled drowsy data to fit the baseline threshold. The current protocol — LOSO for monitoring, survival-framed per-driver-calibrated FPR-controlled evaluation for pro-active prediction — is the correct one for evaluating how the system would perform on a new driver, and is the only protocol reported in the IEEE submission.</w:t>
      </w:r>
    </w:p>
    <w:p>
      <w:pPr>
        <w:spacing w:before="280" w:after="160"/>
        <w:jc w:val="left"/>
      </w:pPr>
      <w:r>
        <w:rPr>
          <w:rFonts w:ascii="Times New Roman" w:hAnsi="Times New Roman"/>
          <w:b/>
          <w:sz w:val="26"/>
        </w:rPr>
        <w:t>6.3  Deployment Considerations</w:t>
      </w:r>
    </w:p>
    <w:p>
      <w:pPr>
        <w:spacing w:line="360" w:lineRule="auto"/>
        <w:jc w:val="both"/>
      </w:pPr>
      <w:r>
        <w:rPr>
          <w:rFonts w:ascii="Times New Roman" w:hAnsi="Times New Roman"/>
          <w:sz w:val="24"/>
        </w:rPr>
        <w:t>The full feature-extraction + LDA scoring + causal EMA update + threshold comparison pipeline runs at 56 ms per 10-second epoch on a laptop CPU, approximately 177× faster than real-time. Because the lean set drops 40 of the 50 extended features, its runtime is strictly lower than the measured v9 number. This leaves ample headroom for an embedded ARM Cortex-M4 implementation with fixed-point arithmetic.</w:t>
      </w:r>
    </w:p>
    <w:p>
      <w:pPr>
        <w:spacing w:line="360" w:lineRule="auto"/>
        <w:jc w:val="both"/>
      </w:pPr>
      <w:r>
        <w:rPr>
          <w:rFonts w:ascii="Times New Roman" w:hAnsi="Times New Roman"/>
          <w:sz w:val="24"/>
        </w:rPr>
        <w:t>Calibration is the principal deployment requirement and operates in two stages. Stage 1 (cold-start) is a 60-second alert baseline at ignition that estimates the per-subject z-score statistics consumed by the generic 9-subject LDA, followed by a 5-minute silent warm-up during which the v17 causal EMA accumulates evidence and the v20 pro-active threshold is estimated from the 99th percentile of that driver's smoothed posterior. After 5 minutes the system transitions to armed state — F1 ≈ 77 on the monitoring track, 71–86 % proactive rate depending on the tolerated false-alert budget. Stage 2 (per-driver fine-tune) accumulates labelled drowsy and awake epochs over the first few drives — flagged opportunistically by the in-cabin camera DMS, by lane-departure events, or by driver self-report — and once approximately 5 minutes of labelled drowsy data per class have been collected, the system retrains a personal 10-feature LDA from that driver's data alone, lifting the monitoring operating point toward F1 ≈ 64 mean per-subject with AUC ≈ 71 (§5.1.4). Personal-model storage is ~5 kB per driver and the closed-form Ledoit–Wolf shrinkage refit completes in milliseconds on the embedded MCU, so the calibration update can run during ignition without a perceptible warm-up delay. The absence of any visual-facial data in the proposed system is a meaningful privacy advantage under GDPR / biometric-data regulations, and the 2-channel headrest form factor avoids direct scalp-electrode contact with hair, which is the single most common source of dry-EEG signal degradation.</w:t>
      </w:r>
    </w:p>
    <w:p>
      <w:pPr>
        <w:spacing w:line="360" w:lineRule="auto"/>
        <w:jc w:val="both"/>
      </w:pPr>
      <w:r>
        <w:rPr>
          <w:rFonts w:ascii="Times New Roman" w:hAnsi="Times New Roman"/>
          <w:sz w:val="24"/>
        </w:rPr>
        <w:t>The bill of materials (Appendix B) places a production unit in the $100–500 range, consistent with integration as a safety feature in mid-range vehicles, with scope for $50–100 at high-volume OEM production. Regulatory compliance would follow ISO 26262 (functional safety, ASIL B recommended) and CISPR 25 (automotive EMC).</w:t>
      </w:r>
    </w:p>
    <w:p>
      <w:pPr>
        <w:spacing w:before="280" w:after="160"/>
        <w:jc w:val="left"/>
      </w:pPr>
      <w:r>
        <w:rPr>
          <w:rFonts w:ascii="Times New Roman" w:hAnsi="Times New Roman"/>
          <w:b/>
          <w:sz w:val="26"/>
        </w:rPr>
        <w:t>6.4  Future Work</w:t>
      </w:r>
    </w:p>
    <w:p>
      <w:pPr>
        <w:spacing w:line="360" w:lineRule="auto"/>
        <w:jc w:val="both"/>
      </w:pPr>
      <w:r>
        <w:rPr>
          <w:rFonts w:ascii="Times New Roman" w:hAnsi="Times New Roman"/>
          <w:sz w:val="24"/>
        </w:rPr>
        <w:t>1. Prospective in-car validation: a dash-mounted or headrest-integrated dry-electrode recording of ≥ 30 minutes per driver across ≥ 20 drivers on a standardised simulator task, with synchronised camera PERCLOS and prospective rather than retrospective labelling. This is the single most important outstanding validation for a safety deployment claim (§5.6.7).</w:t>
      </w:r>
    </w:p>
    <w:p>
      <w:pPr>
        <w:spacing w:line="360" w:lineRule="auto"/>
        <w:jc w:val="both"/>
      </w:pPr>
      <w:r>
        <w:rPr>
          <w:rFonts w:ascii="Times New Roman" w:hAnsi="Times New Roman"/>
          <w:sz w:val="24"/>
        </w:rPr>
        <w:t>2. Larger multi-subject corpus under strict LOSO: the pooled 31-subject DROZY ∪ SEED-VIG cohort remains at the lower end of what supports defensible subject-independent claims; a 50+ subject corpus would narrow the 95% CI on every headline number in Table 5.1 and in particular stabilise the per-subject tail of the advance-prediction distribution (Tables 5.7–5.8).</w:t>
      </w:r>
    </w:p>
    <w:p>
      <w:pPr>
        <w:spacing w:line="360" w:lineRule="auto"/>
        <w:jc w:val="both"/>
      </w:pPr>
      <w:r>
        <w:rPr>
          <w:rFonts w:ascii="Times New Roman" w:hAnsi="Times New Roman"/>
          <w:sz w:val="24"/>
        </w:rPr>
        <w:t>3. Adaptive calibration: the current pipeline uses a fixed 60-second awake window and a fixed 5-minute pro-active threshold-estimation window. A slow-drift z-score tracker that accumulates awake evidence during the drive would reduce the reliance on a clean pre-drive baseline; an online recursive quantile estimator on the smoothed posterior would similarly track per-driver baseline drift across long multi-hour drives.</w:t>
      </w:r>
    </w:p>
    <w:p>
      <w:pPr>
        <w:spacing w:line="360" w:lineRule="auto"/>
        <w:jc w:val="both"/>
      </w:pPr>
      <w:r>
        <w:rPr>
          <w:rFonts w:ascii="Times New Roman" w:hAnsi="Times New Roman"/>
          <w:sz w:val="24"/>
        </w:rPr>
        <w:t>4. Multi-modal fusion: combining the EEG-based posterior with a camera-based PERCLOS estimator to form a dual-modality system in which the EEG provides the coherence-driven advance signal and the camera provides current-state confirmation. Stacked-LDA fusion on this pipeline was evaluated (§5.3, v19) and did not help with a Riemannian second modality, but a camera-PERCLOS second modality is complementary in a way the Riemannian covariance was not.</w:t>
      </w:r>
    </w:p>
    <w:p>
      <w:pPr>
        <w:spacing w:line="360" w:lineRule="auto"/>
        <w:jc w:val="both"/>
      </w:pPr>
      <w:r>
        <w:rPr>
          <w:rFonts w:ascii="Times New Roman" w:hAnsi="Times New Roman"/>
          <w:sz w:val="24"/>
        </w:rPr>
        <w:t>5. Deep-learning at 2 channels revisited: EEGNet underperformed here at 10 subjects. Pre-training a compact temporal convolution on a larger corpus (e.g., SEED-VIG + TUH + Driver-fatigue EEG) and fine-tuning with the 10-feature lean LDA as an auxiliary target may close the gap at the 2-channel form factor, though §5.3 suggests the ceiling may be intrinsically bounded by spatial information content.</w:t>
      </w:r>
    </w:p>
    <w:p>
      <w:pPr>
        <w:spacing w:line="360" w:lineRule="auto"/>
        <w:jc w:val="both"/>
      </w:pPr>
      <w:r>
        <w:rPr>
          <w:rFonts w:ascii="Times New Roman" w:hAnsi="Times New Roman"/>
          <w:sz w:val="24"/>
        </w:rPr>
        <w:t>6. Driving-simulator integration: hook the existing `presentation_app.py` live demonstrator to a fixed-base simulator to measure the false-positive rate during realistic highway driving, night driving, and post-lunch fatigue paradigms.</w:t>
      </w:r>
    </w:p>
    <w:p>
      <w:r>
        <w:br w:type="page"/>
      </w:r>
    </w:p>
    <w:p>
      <w:pPr>
        <w:pageBreakBefore/>
        <w:spacing w:after="360"/>
        <w:jc w:val="center"/>
      </w:pPr>
      <w:r>
        <w:rPr>
          <w:rFonts w:ascii="Times New Roman" w:hAnsi="Times New Roman"/>
          <w:b/>
          <w:sz w:val="28"/>
        </w:rPr>
        <w:t>REFERENCES</w:t>
      </w:r>
    </w:p>
    <w:p>
      <w:pPr>
        <w:spacing w:line="276" w:lineRule="auto" w:after="80"/>
      </w:pPr>
      <w:r>
        <w:rPr>
          <w:rFonts w:ascii="Times New Roman" w:hAnsi="Times New Roman"/>
          <w:sz w:val="22"/>
        </w:rPr>
        <w:t>[1] World Health Organization, "Global Status Report on Road Safety 2023," WHO, Geneva, 2023.</w:t>
      </w:r>
    </w:p>
    <w:p>
      <w:pPr>
        <w:spacing w:line="276" w:lineRule="auto" w:after="80"/>
      </w:pPr>
      <w:r>
        <w:rPr>
          <w:rFonts w:ascii="Times New Roman" w:hAnsi="Times New Roman"/>
          <w:sz w:val="22"/>
        </w:rPr>
        <w:t>[2] Q. Massoz, T. Langohr, C. Francois, and J. G. Verly, "The ULg multimodality drowsiness database (called DROZY) and examples of use," in Proc. IEEE Winter Conf. Applications of Computer Vision (WACV), 2016, pp. 1–7.</w:t>
      </w:r>
    </w:p>
    <w:p>
      <w:pPr>
        <w:spacing w:line="276" w:lineRule="auto" w:after="80"/>
      </w:pPr>
      <w:r>
        <w:rPr>
          <w:rFonts w:ascii="Times New Roman" w:hAnsi="Times New Roman"/>
          <w:sz w:val="22"/>
        </w:rPr>
        <w:t>[3] A. Sahayadhas, K. Sundaraj, and M. Murugappan, "Detecting driver drowsiness based on sensors: A review," Sensors, vol. 12, no. 12, pp. 16937–16953, 2012.</w:t>
      </w:r>
    </w:p>
    <w:p>
      <w:pPr>
        <w:spacing w:line="276" w:lineRule="auto" w:after="80"/>
      </w:pPr>
      <w:r>
        <w:rPr>
          <w:rFonts w:ascii="Times New Roman" w:hAnsi="Times New Roman"/>
          <w:sz w:val="22"/>
        </w:rPr>
        <w:t>[4] I. Stancin, M. Cifrek, and A. Jovic, "A review of EEG signal features and their application in driver drowsiness detection systems," Sensors, vol. 21, no. 11, p. 3786, 2021.</w:t>
      </w:r>
    </w:p>
    <w:p>
      <w:pPr>
        <w:spacing w:line="276" w:lineRule="auto" w:after="80"/>
      </w:pPr>
      <w:r>
        <w:rPr>
          <w:rFonts w:ascii="Times New Roman" w:hAnsi="Times New Roman"/>
          <w:sz w:val="22"/>
        </w:rPr>
        <w:t>[5] M. E. H. Chowdhury et al., "Sensor applications and physiological features in drivers' drowsiness detection: A review," IEEE Access, vol. 6, pp. 22235–22258, 2018.</w:t>
      </w:r>
    </w:p>
    <w:p>
      <w:pPr>
        <w:spacing w:line="276" w:lineRule="auto" w:after="80"/>
      </w:pPr>
      <w:r>
        <w:rPr>
          <w:rFonts w:ascii="Times New Roman" w:hAnsi="Times New Roman"/>
          <w:sz w:val="22"/>
        </w:rPr>
        <w:t>[6] B. T. Jap, S. Lal, P. Fischer, and E. Bekiaris, "Using EEG spectral components to assess algorithms for detecting fatigue," Expert Syst. Appl., vol. 36, no. 2, pp. 2352–2359, 2009.</w:t>
      </w:r>
    </w:p>
    <w:p>
      <w:pPr>
        <w:spacing w:line="276" w:lineRule="auto" w:after="80"/>
      </w:pPr>
      <w:r>
        <w:rPr>
          <w:rFonts w:ascii="Times New Roman" w:hAnsi="Times New Roman"/>
          <w:sz w:val="22"/>
        </w:rPr>
        <w:t>[7] Seeing Machines Ltd., "DMS market review and technology landscape," Annual Report, 2024.</w:t>
      </w:r>
    </w:p>
    <w:p>
      <w:pPr>
        <w:spacing w:line="276" w:lineRule="auto" w:after="80"/>
      </w:pPr>
      <w:r>
        <w:rPr>
          <w:rFonts w:ascii="Times New Roman" w:hAnsi="Times New Roman"/>
          <w:sz w:val="22"/>
        </w:rPr>
        <w:t>[8] J. LaRocco, M. D. Le, and D. G. Bhatt, "A systematic review of available low-cost EEG headsets used for drowsiness detection," Front. Neuroinform., vol. 14, p. 553352, 2020.</w:t>
      </w:r>
    </w:p>
    <w:p>
      <w:pPr>
        <w:spacing w:line="276" w:lineRule="auto" w:after="80"/>
      </w:pPr>
      <w:r>
        <w:rPr>
          <w:rFonts w:ascii="Times New Roman" w:hAnsi="Times New Roman"/>
          <w:sz w:val="22"/>
        </w:rPr>
        <w:t>[9] P. Gangadharan and A. P. Vinod, "Drowsiness detection using portable wireless EEG," in Proc. IEEE Int. Conf. Cybernetics, Robotics and Control (CRC), 2020, pp. 34–38.</w:t>
      </w:r>
    </w:p>
    <w:p>
      <w:pPr>
        <w:spacing w:line="276" w:lineRule="auto" w:after="80"/>
      </w:pPr>
      <w:r>
        <w:rPr>
          <w:rFonts w:ascii="Times New Roman" w:hAnsi="Times New Roman"/>
          <w:sz w:val="22"/>
        </w:rPr>
        <w:t>[10] V. S. Balam, "Single-channel EEG-based drowsiness detection: A systematic review," IEEE Trans. Intell. Transp. Syst., vol. 23, no. 8, pp. 11792–11807, 2022.</w:t>
      </w:r>
    </w:p>
    <w:p>
      <w:pPr>
        <w:spacing w:line="276" w:lineRule="auto" w:after="80"/>
      </w:pPr>
      <w:r>
        <w:rPr>
          <w:rFonts w:ascii="Times New Roman" w:hAnsi="Times New Roman"/>
          <w:sz w:val="22"/>
        </w:rPr>
        <w:t>[11] D. Jeong, S. Yoo, and J. Yun, "Deep spatio-temporal convolutional bidirectional LSTM for drowsiness detection," IEEE Trans. Consumer Electron., vol. 68, no. 3, pp. 294–302, 2022.</w:t>
      </w:r>
    </w:p>
    <w:p>
      <w:pPr>
        <w:spacing w:line="276" w:lineRule="auto" w:after="80"/>
      </w:pPr>
      <w:r>
        <w:rPr>
          <w:rFonts w:ascii="Times New Roman" w:hAnsi="Times New Roman"/>
          <w:sz w:val="22"/>
        </w:rPr>
        <w:t>[12] K. Cheng, G. Chen, and X. Chen, "Temporal EEG imaging for drowsy driving prediction," in Proc. IEEE Int. Conf. Bioinformatics and Biomedicine (BIBM), 2021, pp. 2741–2747.</w:t>
      </w:r>
    </w:p>
    <w:p>
      <w:pPr>
        <w:spacing w:line="276" w:lineRule="auto" w:after="80"/>
      </w:pPr>
      <w:r>
        <w:rPr>
          <w:rFonts w:ascii="Times New Roman" w:hAnsi="Times New Roman"/>
          <w:sz w:val="22"/>
        </w:rPr>
        <w:t>[13] P. L. Nunez, "Headrest-integrated real-time alertness prediction system," U.S. Patent 12,446,811 B2, Apr. 29, 2025.</w:t>
      </w:r>
    </w:p>
    <w:p>
      <w:pPr>
        <w:spacing w:line="276" w:lineRule="auto" w:after="80"/>
      </w:pPr>
      <w:r>
        <w:rPr>
          <w:rFonts w:ascii="Times New Roman" w:hAnsi="Times New Roman"/>
          <w:sz w:val="22"/>
        </w:rPr>
        <w:t>[14] Toyota Motor Corporation, "Drowsiness estimation device," U.S. Patent 11,091,168 B2, Aug. 17, 2021.</w:t>
      </w:r>
    </w:p>
    <w:p>
      <w:pPr>
        <w:spacing w:line="276" w:lineRule="auto" w:after="80"/>
      </w:pPr>
      <w:r>
        <w:rPr>
          <w:rFonts w:ascii="Times New Roman" w:hAnsi="Times New Roman"/>
          <w:sz w:val="22"/>
        </w:rPr>
        <w:t>[15] T. Nguyen, S. Ahn, and Y. Kim, "EEG/fNIRS drowsiness prediction using time-series analysis," Biomed. Signal Process. Control, vol. 68, p. 102701, 2021.</w:t>
      </w:r>
    </w:p>
    <w:p>
      <w:pPr>
        <w:spacing w:line="276" w:lineRule="auto" w:after="80"/>
      </w:pPr>
      <w:r>
        <w:rPr>
          <w:rFonts w:ascii="Times New Roman" w:hAnsi="Times New Roman"/>
          <w:sz w:val="22"/>
        </w:rPr>
        <w:t>[16] C. T. Lin, C. J. Chang, and J. F. Wang, "A generalised EEG-based drowsiness prediction framework," IEEE Trans. Neural Syst. Rehabil. Eng., vol. 28, no. 4, pp. 937–947, 2020.</w:t>
      </w:r>
    </w:p>
    <w:p>
      <w:pPr>
        <w:spacing w:line="276" w:lineRule="auto" w:after="80"/>
      </w:pPr>
      <w:r>
        <w:rPr>
          <w:rFonts w:ascii="Times New Roman" w:hAnsi="Times New Roman"/>
          <w:sz w:val="22"/>
        </w:rPr>
        <w:t>[17] A. Barachant, S. Bonnet, M. Congedo, and C. Jutten, "Classification of covariance matrices using a Riemannian-based kernel for BCI applications," Neurocomputing, vol. 112, pp. 172–178, 2013.</w:t>
      </w:r>
    </w:p>
    <w:p>
      <w:pPr>
        <w:spacing w:line="276" w:lineRule="auto" w:after="80"/>
      </w:pPr>
      <w:r>
        <w:rPr>
          <w:rFonts w:ascii="Times New Roman" w:hAnsi="Times New Roman"/>
          <w:sz w:val="22"/>
        </w:rPr>
        <w:t>[18] V. J. Lawhern, A. J. Solon, N. R. Waytowich, S. M. Gordon, C. P. Hung, and B. J. Lance, "EEGNet: a compact convolutional neural network for EEG-based brain–computer interfaces," J. Neural Eng., vol. 15, no. 5, p. 056013, 2018.</w:t>
      </w:r>
    </w:p>
    <w:p>
      <w:pPr>
        <w:spacing w:line="276" w:lineRule="auto" w:after="80"/>
      </w:pPr>
      <w:r>
        <w:rPr>
          <w:rFonts w:ascii="Times New Roman" w:hAnsi="Times New Roman"/>
          <w:sz w:val="22"/>
        </w:rPr>
        <w:t>[19] W.-L. Zheng and B.-L. Lu, "A multimodal approach to estimating vigilance using EEG and forehead EOG," J. Neural Eng., vol. 14, no. 2, p. 026017, 2017.  (SEED-VIG dataset.)</w:t>
      </w:r>
    </w:p>
    <w:p>
      <w:pPr>
        <w:spacing w:line="276" w:lineRule="auto" w:after="80"/>
      </w:pPr>
      <w:r>
        <w:rPr>
          <w:rFonts w:ascii="Times New Roman" w:hAnsi="Times New Roman"/>
          <w:sz w:val="22"/>
        </w:rPr>
        <w:t>[20] O. Ledoit and M. Wolf, "A well-conditioned estimator for large-dimensional covariance matrices," J. Multivar. Anal., vol. 88, no. 2, pp. 365–411, 2004.</w:t>
      </w:r>
    </w:p>
    <w:p>
      <w:pPr>
        <w:spacing w:line="276" w:lineRule="auto" w:after="80"/>
      </w:pPr>
      <w:r>
        <w:rPr>
          <w:rFonts w:ascii="Times New Roman" w:hAnsi="Times New Roman"/>
          <w:sz w:val="22"/>
        </w:rPr>
        <w:t>[21] G. Nolte, O. Bai, L. Wheaton, Z. Mari, S. Vorbach, and M. Hallett, "Identifying true brain interaction from EEG data using the imaginary part of coherency," Clin. Neurophysiol., vol. 115, no. 10, pp. 2292–2307, 2004.</w:t>
      </w:r>
    </w:p>
    <w:p>
      <w:pPr>
        <w:spacing w:line="276" w:lineRule="auto" w:after="80"/>
      </w:pPr>
      <w:r>
        <w:rPr>
          <w:rFonts w:ascii="Times New Roman" w:hAnsi="Times New Roman"/>
          <w:sz w:val="22"/>
        </w:rPr>
        <w:t>[22] M. Vinck, R. Oostenveld, M. van Wingerden, F. Battaglia, and C. M. A. Pennartz, "An improved index of phase-synchronization for electrophysiological data in the presence of volume-conduction, noise and sample-size bias," NeuroImage, vol. 55, no. 4, pp. 1548–1565, 2011.</w:t>
      </w:r>
    </w:p>
    <w:p>
      <w:pPr>
        <w:spacing w:line="276" w:lineRule="auto" w:after="80"/>
      </w:pPr>
      <w:r>
        <w:rPr>
          <w:rFonts w:ascii="Times New Roman" w:hAnsi="Times New Roman"/>
          <w:sz w:val="22"/>
        </w:rPr>
        <w:t>[23] J.-P. Lachaux, E. Rodriguez, J. Martinerie, and F. J. Varela, "Measuring phase synchrony in brain signals," Hum. Brain Mapp., vol. 8, no. 4, pp. 194–208, 1999.</w:t>
      </w:r>
    </w:p>
    <w:p>
      <w:r>
        <w:br w:type="page"/>
      </w:r>
    </w:p>
    <w:p>
      <w:pPr>
        <w:pageBreakBefore/>
        <w:spacing w:after="360"/>
        <w:jc w:val="center"/>
      </w:pPr>
      <w:r>
        <w:rPr>
          <w:rFonts w:ascii="Times New Roman" w:hAnsi="Times New Roman"/>
          <w:b/>
          <w:sz w:val="28"/>
        </w:rPr>
        <w:t>APPENDIX A — KEY PYTHON CODE SNIPPETS</w:t>
      </w:r>
    </w:p>
    <w:p>
      <w:pPr>
        <w:spacing w:before="280" w:after="160"/>
        <w:jc w:val="left"/>
      </w:pPr>
      <w:r>
        <w:rPr>
          <w:rFonts w:ascii="Times New Roman" w:hAnsi="Times New Roman"/>
          <w:b/>
          <w:sz w:val="26"/>
        </w:rPr>
        <w:t>A.1  EEG File Loading and Channel Extraction</w:t>
      </w:r>
    </w:p>
    <w:p>
      <w:pPr>
        <w:spacing w:before="120" w:after="120" w:line="240" w:lineRule="auto"/>
      </w:pPr>
      <w:r>
        <w:rPr>
          <w:rFonts w:ascii="Consolas" w:hAnsi="Consolas"/>
          <w:sz w:val="18"/>
        </w:rPr>
        <w:t>import mne</w:t>
        <w:br/>
        <w:t>import numpy as np</w:t>
        <w:br/>
        <w:br/>
        <w:t>def load_edf(subject, session, data_dir="DROZY_O1_O2"):</w:t>
        <w:br/>
        <w:t xml:space="preserve">    path = f"{data_dir}/{subject}_{session}_O1_O2.edf"</w:t>
        <w:br/>
        <w:t xml:space="preserve">    raw = mne.io.read_raw_edf(path, preload=True, verbose=False)</w:t>
        <w:br/>
        <w:t xml:space="preserve">    data = raw.get_data() * 1e6   # V -&gt; uV</w:t>
        <w:br/>
        <w:t xml:space="preserve">    sfreq = float(raw.info["sfreq"])</w:t>
        <w:br/>
        <w:t xml:space="preserve">    return data, sfreq, raw.ch_names</w:t>
      </w:r>
    </w:p>
    <w:p>
      <w:pPr>
        <w:spacing w:before="280" w:after="160"/>
        <w:jc w:val="left"/>
      </w:pPr>
      <w:r>
        <w:rPr>
          <w:rFonts w:ascii="Times New Roman" w:hAnsi="Times New Roman"/>
          <w:b/>
          <w:sz w:val="26"/>
        </w:rPr>
        <w:t>A.2  Preprocessing — MNE Zero-Phase FIR Bandpass (1–40 Hz)</w:t>
      </w:r>
    </w:p>
    <w:p>
      <w:pPr>
        <w:spacing w:before="120" w:after="120" w:line="240" w:lineRule="auto"/>
      </w:pPr>
      <w:r>
        <w:rPr>
          <w:rFonts w:ascii="Consolas" w:hAnsi="Consolas"/>
          <w:sz w:val="18"/>
        </w:rPr>
        <w:t>import mne</w:t>
        <w:br/>
        <w:br/>
        <w:t>def preprocess(raw, l_freq=1.0, h_freq=40.0):</w:t>
        <w:br/>
        <w:t xml:space="preserve">    # Zero-phase FIR bandpass via MNE's default Hamming-windowed design;</w:t>
        <w:br/>
        <w:t xml:space="preserve">    # this is the filter actually used in publication_analysis.py and</w:t>
        <w:br/>
        <w:t xml:space="preserve">    # its descendants (v3-v20).</w:t>
        <w:br/>
        <w:t xml:space="preserve">    raw.filter(l_freq=l_freq, h_freq=h_freq,</w:t>
        <w:br/>
        <w:t xml:space="preserve">               method='fir', fir_design='firwin',</w:t>
        <w:br/>
        <w:t xml:space="preserve">               phase='zero', verbose=False)</w:t>
        <w:br/>
        <w:t xml:space="preserve">    return raw</w:t>
      </w:r>
    </w:p>
    <w:p>
      <w:pPr>
        <w:spacing w:before="280" w:after="160"/>
        <w:jc w:val="left"/>
      </w:pPr>
      <w:r>
        <w:rPr>
          <w:rFonts w:ascii="Times New Roman" w:hAnsi="Times New Roman"/>
          <w:b/>
          <w:sz w:val="26"/>
        </w:rPr>
        <w:t>A.3  Ten-Second Non-Overlapping Epoching</w:t>
      </w:r>
    </w:p>
    <w:p>
      <w:pPr>
        <w:spacing w:before="120" w:after="120" w:line="240" w:lineRule="auto"/>
      </w:pPr>
      <w:r>
        <w:rPr>
          <w:rFonts w:ascii="Consolas" w:hAnsi="Consolas"/>
          <w:sz w:val="18"/>
        </w:rPr>
        <w:t>import numpy as np</w:t>
        <w:br/>
        <w:br/>
        <w:t>def epoch_signal(data, sfreq, win_sec=10.0):</w:t>
        <w:br/>
        <w:t xml:space="preserve">    win = int(win_sec * sfreq)          # 1280 samples at 128 Hz</w:t>
        <w:br/>
        <w:t xml:space="preserve">    n_epochs = data.shape[1] // win</w:t>
        <w:br/>
        <w:t xml:space="preserve">    data = data[:, :n_epochs * win]</w:t>
        <w:br/>
        <w:t xml:space="preserve">    return data.reshape(data.shape[0], n_epochs, win).transpose(1, 0, 2)</w:t>
        <w:br/>
        <w:t xml:space="preserve">    # shape: (n_epochs, n_channels=2, n_samples=1280)</w:t>
      </w:r>
    </w:p>
    <w:p>
      <w:pPr>
        <w:spacing w:before="280" w:after="160"/>
        <w:jc w:val="left"/>
      </w:pPr>
      <w:r>
        <w:rPr>
          <w:rFonts w:ascii="Times New Roman" w:hAnsi="Times New Roman"/>
          <w:b/>
          <w:sz w:val="26"/>
        </w:rPr>
        <w:t>A.4  Lean Feature Set (ENT + SLOPE + COH, 10 features)</w:t>
      </w:r>
    </w:p>
    <w:p>
      <w:pPr>
        <w:spacing w:before="120" w:after="120" w:line="240" w:lineRule="auto"/>
      </w:pPr>
      <w:r>
        <w:rPr>
          <w:rFonts w:ascii="Consolas" w:hAnsi="Consolas"/>
          <w:sz w:val="18"/>
        </w:rPr>
        <w:t>import numpy as np</w:t>
        <w:br/>
        <w:t>from scipy.signal import welch, csd</w:t>
        <w:br/>
        <w:t>from antropy import sample_entropy, perm_entropy</w:t>
        <w:br/>
        <w:t>from fooof import FOOOF</w:t>
        <w:br/>
        <w:br/>
        <w:t>BANDS = dict(theta=(4, 8), alpha=(8, 13), beta=(13, 30))</w:t>
        <w:br/>
        <w:br/>
        <w:t>def aperiodic_slope(x, sfreq):</w:t>
        <w:br/>
        <w:t xml:space="preserve">    f, p = welch(x, sfreq, nperseg=int(4 * sfreq))</w:t>
        <w:br/>
        <w:t xml:space="preserve">    fm = FOOOF(aperiodic_mode='fixed', verbose=False)</w:t>
        <w:br/>
        <w:t xml:space="preserve">    fm.fit(f, p, [1, 40])</w:t>
        <w:br/>
        <w:t xml:space="preserve">    return fm.aperiodic_params_[1]     # exponent (1/f slope)</w:t>
        <w:br/>
        <w:br/>
        <w:t>def coherence_in_band(o1, o2, sfreq, band):</w:t>
        <w:br/>
        <w:t xml:space="preserve">    f, pxy = csd(o1, o2, sfreq, nperseg=int(4 * sfreq))</w:t>
        <w:br/>
        <w:t xml:space="preserve">    f, pxx = welch(o1, sfreq, nperseg=int(4 * sfreq))</w:t>
        <w:br/>
        <w:t xml:space="preserve">    f, pyy = welch(o2, sfreq, nperseg=int(4 * sfreq))</w:t>
        <w:br/>
        <w:t xml:space="preserve">    m = (f &gt;= band[0]) &amp; (f &lt;= band[1])</w:t>
        <w:br/>
        <w:t xml:space="preserve">    coh = np.abs(pxy[m])**2 / (pxx[m] * pyy[m] + 1e-12)</w:t>
        <w:br/>
        <w:t xml:space="preserve">    return float(coh.mean())</w:t>
        <w:br/>
        <w:br/>
        <w:t>def paf(x, sfreq, band=(8, 13)):</w:t>
        <w:br/>
        <w:t xml:space="preserve">    f, p = welch(x, sfreq, nperseg=int(4 * sfreq))</w:t>
        <w:br/>
        <w:t xml:space="preserve">    m = (f &gt;= band[0]) &amp; (f &lt;= band[1])</w:t>
        <w:br/>
        <w:t xml:space="preserve">    return float(f[m][np.argmax(p[m])])</w:t>
        <w:br/>
        <w:br/>
        <w:t>def lean_features(o1, o2, sfreq=128.0):</w:t>
        <w:br/>
        <w:t xml:space="preserve">    return np.array([</w:t>
        <w:br/>
        <w:t xml:space="preserve">        sample_entropy(o1),    sample_entropy(o2),</w:t>
        <w:br/>
        <w:t xml:space="preserve">        perm_entropy(o1),      perm_entropy(o2),</w:t>
        <w:br/>
        <w:t xml:space="preserve">        aperiodic_slope(o1, sfreq), aperiodic_slope(o2, sfreq),</w:t>
        <w:br/>
        <w:t xml:space="preserve">        coherence_in_band(o1, o2, sfreq, BANDS['theta']),</w:t>
        <w:br/>
        <w:t xml:space="preserve">        coherence_in_band(o1, o2, sfreq, BANDS['alpha']),</w:t>
        <w:br/>
        <w:t xml:space="preserve">        coherence_in_band(o1, o2, sfreq, BANDS['beta']),</w:t>
        <w:br/>
        <w:t xml:space="preserve">        paf(o1, sfreq) - paf(o2, sfreq),      # peak-alpha-freq difference</w:t>
        <w:br/>
        <w:t xml:space="preserve">    ])</w:t>
      </w:r>
    </w:p>
    <w:p>
      <w:pPr>
        <w:spacing w:before="280" w:after="160"/>
        <w:jc w:val="left"/>
      </w:pPr>
      <w:r>
        <w:rPr>
          <w:rFonts w:ascii="Times New Roman" w:hAnsi="Times New Roman"/>
          <w:b/>
          <w:sz w:val="26"/>
        </w:rPr>
        <w:t>A.5  LOSO LDA Training Loop with subject_awake z-score</w:t>
      </w:r>
    </w:p>
    <w:p>
      <w:pPr>
        <w:spacing w:before="120" w:after="120" w:line="240" w:lineRule="auto"/>
      </w:pPr>
      <w:r>
        <w:rPr>
          <w:rFonts w:ascii="Consolas" w:hAnsi="Consolas"/>
          <w:sz w:val="18"/>
        </w:rPr>
        <w:t>import numpy as np</w:t>
        <w:br/>
        <w:t>from sklearn.discriminant_analysis import LinearDiscriminantAnalysis</w:t>
        <w:br/>
        <w:t>from sklearn.metrics import f1_score</w:t>
        <w:br/>
        <w:br/>
        <w:t>def loso_lda(X, y, subjects, session):</w:t>
        <w:br/>
        <w:t xml:space="preserve">    preds = np.zeros_like(y)</w:t>
        <w:br/>
        <w:t xml:space="preserve">    for held in np.unique(subjects):</w:t>
        <w:br/>
        <w:t xml:space="preserve">        train = subjects != held</w:t>
        <w:br/>
        <w:t xml:space="preserve">        test  = subjects == held</w:t>
        <w:br/>
        <w:br/>
        <w:t xml:space="preserve">        # per-subject awake-only z-score stats</w:t>
        <w:br/>
        <w:t xml:space="preserve">        mu = np.zeros_like(X[0]); sd = np.ones_like(X[0])</w:t>
        <w:br/>
        <w:t xml:space="preserve">        for s in np.unique(subjects):</w:t>
        <w:br/>
        <w:t xml:space="preserve">            mask = (subjects == s) &amp; (session == '1')</w:t>
        <w:br/>
        <w:t xml:space="preserve">            if mask.any():</w:t>
        <w:br/>
        <w:t xml:space="preserve">                mu = X[mask].mean(axis=0)</w:t>
        <w:br/>
        <w:t xml:space="preserve">                sd = X[mask].std(axis=0) + 1e-8</w:t>
        <w:br/>
        <w:t xml:space="preserve">            if s == held:</w:t>
        <w:br/>
        <w:t xml:space="preserve">                Xt = (X[test] - mu) / sd</w:t>
        <w:br/>
        <w:t xml:space="preserve">            else:</w:t>
        <w:br/>
        <w:t xml:space="preserve">                X[subjects == s] = (X[subjects == s] - mu) / sd</w:t>
        <w:br/>
        <w:br/>
        <w:t xml:space="preserve">        clf = LinearDiscriminantAnalysis(solver='lsqr', shrinkage='auto')</w:t>
        <w:br/>
        <w:t xml:space="preserve">        clf.fit(X[train], y[train])</w:t>
        <w:br/>
        <w:t xml:space="preserve">        preds[test] = clf.predict(Xt)</w:t>
        <w:br/>
        <w:t xml:space="preserve">    return f1_score(y, preds, average='weighted') * 100</w:t>
      </w:r>
    </w:p>
    <w:p>
      <w:pPr>
        <w:spacing w:before="280" w:after="160"/>
        <w:jc w:val="left"/>
      </w:pPr>
      <w:r>
        <w:rPr>
          <w:rFonts w:ascii="Times New Roman" w:hAnsi="Times New Roman"/>
          <w:b/>
          <w:sz w:val="26"/>
        </w:rPr>
        <w:t>A.6  v17 Causal Exponential Moving-Average Smoother</w:t>
      </w:r>
    </w:p>
    <w:p>
      <w:pPr>
        <w:spacing w:before="120" w:after="120" w:line="240" w:lineRule="auto"/>
      </w:pPr>
      <w:r>
        <w:rPr>
          <w:rFonts w:ascii="Consolas" w:hAnsi="Consolas"/>
          <w:sz w:val="18"/>
        </w:rPr>
        <w:t>import numpy as np</w:t>
        <w:br/>
        <w:br/>
        <w:t>def causal_ema(p, tau_sec, dt_sec=10.0):</w:t>
        <w:br/>
        <w:t xml:space="preserve">    """Causal EMA of p(drowsy). alpha = 1 - exp(-dt/tau); tau = 600 s</w:t>
        <w:br/>
        <w:t xml:space="preserve">    is the v17 continuous-regime operating point. Never uses future</w:t>
        <w:br/>
        <w:t xml:space="preserve">    samples; must be applied per-subject and per-session (no crossing</w:t>
        <w:br/>
        <w:t xml:space="preserve">    of subject/session boundaries)."""</w:t>
        <w:br/>
        <w:t xml:space="preserve">    if tau_sec &lt;= 0:</w:t>
        <w:br/>
        <w:t xml:space="preserve">        return p.copy()</w:t>
        <w:br/>
        <w:t xml:space="preserve">    alpha = 1.0 - np.exp(-dt_sec / tau_sec)</w:t>
        <w:br/>
        <w:t xml:space="preserve">    out = np.empty_like(p, dtype=float)</w:t>
        <w:br/>
        <w:t xml:space="preserve">    out[0] = p[0]</w:t>
        <w:br/>
        <w:t xml:space="preserve">    for t in range(1, len(p)):</w:t>
        <w:br/>
        <w:t xml:space="preserve">        out[t] = alpha * p[t] + (1 - alpha) * out[t - 1]</w:t>
        <w:br/>
        <w:t xml:space="preserve">    return out</w:t>
      </w:r>
    </w:p>
    <w:p>
      <w:pPr>
        <w:spacing w:before="280" w:after="160"/>
        <w:jc w:val="left"/>
      </w:pPr>
      <w:r>
        <w:rPr>
          <w:rFonts w:ascii="Times New Roman" w:hAnsi="Times New Roman"/>
          <w:b/>
          <w:sz w:val="26"/>
        </w:rPr>
        <w:t>A.7  v20 Per-Driver-Calibrated Pro-Active Onset Rule</w:t>
      </w:r>
    </w:p>
    <w:p>
      <w:pPr>
        <w:spacing w:before="120" w:after="120" w:line="240" w:lineRule="auto"/>
      </w:pPr>
      <w:r>
        <w:rPr>
          <w:rFonts w:ascii="Consolas" w:hAnsi="Consolas"/>
          <w:sz w:val="18"/>
        </w:rPr>
        <w:t>import numpy as np</w:t>
        <w:br/>
        <w:br/>
        <w:t>def first_sustained_crossing(values, thr, sustain_steps):</w:t>
        <w:br/>
        <w:t xml:space="preserve">    n = len(values)</w:t>
        <w:br/>
        <w:t xml:space="preserve">    for i in range(n - sustain_steps + 1):</w:t>
        <w:br/>
        <w:t xml:space="preserve">        if np.all(values[i:i + sustain_steps] &gt; thr):</w:t>
        <w:br/>
        <w:t xml:space="preserve">            return i</w:t>
        <w:br/>
        <w:t xml:space="preserve">    return None</w:t>
        <w:br/>
        <w:br/>
        <w:t>def v20_onset(p_smoothed, t_sec, baseline_sec=300, pct=99,</w:t>
        <w:br/>
        <w:t xml:space="preserve">              dwell_sec=10, epoch_sec=10):</w:t>
        <w:br/>
        <w:t xml:space="preserve">    """Fire the pro-active alert at the first sustained crossing of</w:t>
        <w:br/>
        <w:t xml:space="preserve">    the per-driver percentile threshold. p_smoothed is the causal-EMA-</w:t>
        <w:br/>
        <w:t xml:space="preserve">    smoothed posterior (τ = 30 s for the pro-active track). The</w:t>
        <w:br/>
        <w:t xml:space="preserve">    threshold is the 99th percentile of the first 5 minutes of</w:t>
        <w:br/>
        <w:t xml:space="preserve">    smoothed posterior; dwell is one epoch (10 s)."""</w:t>
        <w:br/>
        <w:t xml:space="preserve">    baseline = p_smoothed[t_sec &lt; baseline_sec]</w:t>
        <w:br/>
        <w:t xml:space="preserve">    if len(baseline) &lt; 3:</w:t>
        <w:br/>
        <w:t xml:space="preserve">        baseline = p_smoothed[:3]</w:t>
        <w:br/>
        <w:t xml:space="preserve">    thr = min(float(np.percentile(baseline, pct)), 0.98)</w:t>
        <w:br/>
        <w:t xml:space="preserve">    dwell = max(1, dwell_sec // epoch_sec)</w:t>
        <w:br/>
        <w:t xml:space="preserve">    idx = first_sustained_crossing(p_smoothed, thr, dwell)</w:t>
        <w:br/>
        <w:t xml:space="preserve">    return {'threshold': thr,</w:t>
        <w:br/>
        <w:t xml:space="preserve">            'onset_sec': float(t_sec[idx]) if idx is not None else None}</w:t>
      </w:r>
    </w:p>
    <w:p>
      <w:r>
        <w:br w:type="page"/>
      </w:r>
    </w:p>
    <w:p>
      <w:pPr>
        <w:pageBreakBefore/>
        <w:spacing w:after="360"/>
        <w:jc w:val="center"/>
      </w:pPr>
      <w:r>
        <w:rPr>
          <w:rFonts w:ascii="Times New Roman" w:hAnsi="Times New Roman"/>
          <w:b/>
          <w:sz w:val="28"/>
        </w:rPr>
        <w:t>APPENDIX B — COMPONENT SPECIFICATIONS</w:t>
      </w:r>
    </w:p>
    <w:p>
      <w:pPr>
        <w:spacing w:before="240"/>
        <w:jc w:val="center"/>
      </w:pPr>
      <w:r>
        <w:rPr>
          <w:rFonts w:ascii="Times New Roman" w:hAnsi="Times New Roman"/>
          <w:b/>
          <w:sz w:val="20"/>
        </w:rPr>
        <w:t>Table B.1: Estimated Bill of Materials for the Headrest EEG Module</w:t>
      </w:r>
    </w:p>
    <w:tbl>
      <w:tblPr>
        <w:tblStyle w:val="TableGrid"/>
        <w:tblW w:type="auto" w:w="0"/>
        <w:jc w:val="center"/>
        <w:tblLook w:firstColumn="1" w:firstRow="1" w:lastColumn="0" w:lastRow="0" w:noHBand="0" w:noVBand="1" w:val="04A0"/>
      </w:tblPr>
      <w:tblGrid>
        <w:gridCol w:w="3000"/>
        <w:gridCol w:w="3000"/>
        <w:gridCol w:w="3000"/>
      </w:tblGrid>
      <w:tr>
        <w:tc>
          <w:tcPr>
            <w:tcW w:type="dxa" w:w="3000"/>
          </w:tcPr>
          <w:p>
            <w:pPr>
              <w:jc w:val="center"/>
            </w:pPr>
            <w:r>
              <w:rPr>
                <w:rFonts w:ascii="Times New Roman" w:hAnsi="Times New Roman"/>
                <w:b/>
                <w:sz w:val="20"/>
              </w:rPr>
              <w:t>Component</w:t>
            </w:r>
          </w:p>
        </w:tc>
        <w:tc>
          <w:tcPr>
            <w:tcW w:type="dxa" w:w="3000"/>
          </w:tcPr>
          <w:p>
            <w:pPr>
              <w:jc w:val="center"/>
            </w:pPr>
            <w:r>
              <w:rPr>
                <w:rFonts w:ascii="Times New Roman" w:hAnsi="Times New Roman"/>
                <w:b/>
                <w:sz w:val="20"/>
              </w:rPr>
              <w:t>Specification</w:t>
            </w:r>
          </w:p>
        </w:tc>
        <w:tc>
          <w:tcPr>
            <w:tcW w:type="dxa" w:w="3000"/>
          </w:tcPr>
          <w:p>
            <w:pPr>
              <w:jc w:val="center"/>
            </w:pPr>
            <w:r>
              <w:rPr>
                <w:rFonts w:ascii="Times New Roman" w:hAnsi="Times New Roman"/>
                <w:b/>
                <w:sz w:val="20"/>
              </w:rPr>
              <w:t>Estimated Cost</w:t>
            </w:r>
          </w:p>
        </w:tc>
      </w:tr>
      <w:tr>
        <w:tc>
          <w:tcPr>
            <w:tcW w:type="dxa" w:w="3000"/>
          </w:tcPr>
          <w:p>
            <w:pPr>
              <w:jc w:val="center"/>
            </w:pPr>
            <w:r>
              <w:rPr>
                <w:rFonts w:ascii="Times New Roman" w:hAnsi="Times New Roman"/>
                <w:sz w:val="20"/>
              </w:rPr>
              <w:t>Dry EEG Electrodes (×2)</w:t>
            </w:r>
          </w:p>
        </w:tc>
        <w:tc>
          <w:tcPr>
            <w:tcW w:type="dxa" w:w="3000"/>
          </w:tcPr>
          <w:p>
            <w:pPr>
              <w:jc w:val="center"/>
            </w:pPr>
            <w:r>
              <w:rPr>
                <w:rFonts w:ascii="Times New Roman" w:hAnsi="Times New Roman"/>
                <w:sz w:val="20"/>
              </w:rPr>
              <w:t>Ag/AgCl coated silicone-textile, 10 mm</w:t>
            </w:r>
          </w:p>
        </w:tc>
        <w:tc>
          <w:tcPr>
            <w:tcW w:type="dxa" w:w="3000"/>
          </w:tcPr>
          <w:p>
            <w:pPr>
              <w:jc w:val="center"/>
            </w:pPr>
            <w:r>
              <w:rPr>
                <w:rFonts w:ascii="Times New Roman" w:hAnsi="Times New Roman"/>
                <w:sz w:val="20"/>
              </w:rPr>
              <w:t>$5–15</w:t>
            </w:r>
          </w:p>
        </w:tc>
      </w:tr>
      <w:tr>
        <w:tc>
          <w:tcPr>
            <w:tcW w:type="dxa" w:w="3000"/>
          </w:tcPr>
          <w:p>
            <w:pPr>
              <w:jc w:val="center"/>
            </w:pPr>
            <w:r>
              <w:rPr>
                <w:rFonts w:ascii="Times New Roman" w:hAnsi="Times New Roman"/>
                <w:sz w:val="20"/>
              </w:rPr>
              <w:t>EEG Analog Front-End IC</w:t>
            </w:r>
          </w:p>
        </w:tc>
        <w:tc>
          <w:tcPr>
            <w:tcW w:type="dxa" w:w="3000"/>
          </w:tcPr>
          <w:p>
            <w:pPr>
              <w:jc w:val="center"/>
            </w:pPr>
            <w:r>
              <w:rPr>
                <w:rFonts w:ascii="Times New Roman" w:hAnsi="Times New Roman"/>
                <w:sz w:val="20"/>
              </w:rPr>
              <w:t>2-channel, 128 Hz, 16–24 bit ADC</w:t>
            </w:r>
          </w:p>
        </w:tc>
        <w:tc>
          <w:tcPr>
            <w:tcW w:type="dxa" w:w="3000"/>
          </w:tcPr>
          <w:p>
            <w:pPr>
              <w:jc w:val="center"/>
            </w:pPr>
            <w:r>
              <w:rPr>
                <w:rFonts w:ascii="Times New Roman" w:hAnsi="Times New Roman"/>
                <w:sz w:val="20"/>
              </w:rPr>
              <w:t>$15–30</w:t>
            </w:r>
          </w:p>
        </w:tc>
      </w:tr>
      <w:tr>
        <w:tc>
          <w:tcPr>
            <w:tcW w:type="dxa" w:w="3000"/>
          </w:tcPr>
          <w:p>
            <w:pPr>
              <w:jc w:val="center"/>
            </w:pPr>
            <w:r>
              <w:rPr>
                <w:rFonts w:ascii="Times New Roman" w:hAnsi="Times New Roman"/>
                <w:sz w:val="20"/>
              </w:rPr>
              <w:t>Microcontroller</w:t>
            </w:r>
          </w:p>
        </w:tc>
        <w:tc>
          <w:tcPr>
            <w:tcW w:type="dxa" w:w="3000"/>
          </w:tcPr>
          <w:p>
            <w:pPr>
              <w:jc w:val="center"/>
            </w:pPr>
            <w:r>
              <w:rPr>
                <w:rFonts w:ascii="Times New Roman" w:hAnsi="Times New Roman"/>
                <w:sz w:val="20"/>
              </w:rPr>
              <w:t>ARM Cortex-M4 with FPU, 128 KB RAM</w:t>
            </w:r>
          </w:p>
        </w:tc>
        <w:tc>
          <w:tcPr>
            <w:tcW w:type="dxa" w:w="3000"/>
          </w:tcPr>
          <w:p>
            <w:pPr>
              <w:jc w:val="center"/>
            </w:pPr>
            <w:r>
              <w:rPr>
                <w:rFonts w:ascii="Times New Roman" w:hAnsi="Times New Roman"/>
                <w:sz w:val="20"/>
              </w:rPr>
              <w:t>$8–12</w:t>
            </w:r>
          </w:p>
        </w:tc>
      </w:tr>
      <w:tr>
        <w:tc>
          <w:tcPr>
            <w:tcW w:type="dxa" w:w="3000"/>
          </w:tcPr>
          <w:p>
            <w:pPr>
              <w:jc w:val="center"/>
            </w:pPr>
            <w:r>
              <w:rPr>
                <w:rFonts w:ascii="Times New Roman" w:hAnsi="Times New Roman"/>
                <w:sz w:val="20"/>
              </w:rPr>
              <w:t>Wireless Module</w:t>
            </w:r>
          </w:p>
        </w:tc>
        <w:tc>
          <w:tcPr>
            <w:tcW w:type="dxa" w:w="3000"/>
          </w:tcPr>
          <w:p>
            <w:pPr>
              <w:jc w:val="center"/>
            </w:pPr>
            <w:r>
              <w:rPr>
                <w:rFonts w:ascii="Times New Roman" w:hAnsi="Times New Roman"/>
                <w:sz w:val="20"/>
              </w:rPr>
              <w:t>Bluetooth 5.0 / CAN bus transceiver</w:t>
            </w:r>
          </w:p>
        </w:tc>
        <w:tc>
          <w:tcPr>
            <w:tcW w:type="dxa" w:w="3000"/>
          </w:tcPr>
          <w:p>
            <w:pPr>
              <w:jc w:val="center"/>
            </w:pPr>
            <w:r>
              <w:rPr>
                <w:rFonts w:ascii="Times New Roman" w:hAnsi="Times New Roman"/>
                <w:sz w:val="20"/>
              </w:rPr>
              <w:t>$5–10</w:t>
            </w:r>
          </w:p>
        </w:tc>
      </w:tr>
      <w:tr>
        <w:tc>
          <w:tcPr>
            <w:tcW w:type="dxa" w:w="3000"/>
          </w:tcPr>
          <w:p>
            <w:pPr>
              <w:jc w:val="center"/>
            </w:pPr>
            <w:r>
              <w:rPr>
                <w:rFonts w:ascii="Times New Roman" w:hAnsi="Times New Roman"/>
                <w:sz w:val="20"/>
              </w:rPr>
              <w:t>PCB and Passives</w:t>
            </w:r>
          </w:p>
        </w:tc>
        <w:tc>
          <w:tcPr>
            <w:tcW w:type="dxa" w:w="3000"/>
          </w:tcPr>
          <w:p>
            <w:pPr>
              <w:jc w:val="center"/>
            </w:pPr>
            <w:r>
              <w:rPr>
                <w:rFonts w:ascii="Times New Roman" w:hAnsi="Times New Roman"/>
                <w:sz w:val="20"/>
              </w:rPr>
              <w:t>2-layer PCB, capacitors, resistors</w:t>
            </w:r>
          </w:p>
        </w:tc>
        <w:tc>
          <w:tcPr>
            <w:tcW w:type="dxa" w:w="3000"/>
          </w:tcPr>
          <w:p>
            <w:pPr>
              <w:jc w:val="center"/>
            </w:pPr>
            <w:r>
              <w:rPr>
                <w:rFonts w:ascii="Times New Roman" w:hAnsi="Times New Roman"/>
                <w:sz w:val="20"/>
              </w:rPr>
              <w:t>$10–20</w:t>
            </w:r>
          </w:p>
        </w:tc>
      </w:tr>
      <w:tr>
        <w:tc>
          <w:tcPr>
            <w:tcW w:type="dxa" w:w="3000"/>
          </w:tcPr>
          <w:p>
            <w:pPr>
              <w:jc w:val="center"/>
            </w:pPr>
            <w:r>
              <w:rPr>
                <w:rFonts w:ascii="Times New Roman" w:hAnsi="Times New Roman"/>
                <w:sz w:val="20"/>
              </w:rPr>
              <w:t>Headrest Integration</w:t>
            </w:r>
          </w:p>
        </w:tc>
        <w:tc>
          <w:tcPr>
            <w:tcW w:type="dxa" w:w="3000"/>
          </w:tcPr>
          <w:p>
            <w:pPr>
              <w:jc w:val="center"/>
            </w:pPr>
            <w:r>
              <w:rPr>
                <w:rFonts w:ascii="Times New Roman" w:hAnsi="Times New Roman"/>
                <w:sz w:val="20"/>
              </w:rPr>
              <w:t>Custom foam moulding, wiring harness</w:t>
            </w:r>
          </w:p>
        </w:tc>
        <w:tc>
          <w:tcPr>
            <w:tcW w:type="dxa" w:w="3000"/>
          </w:tcPr>
          <w:p>
            <w:pPr>
              <w:jc w:val="center"/>
            </w:pPr>
            <w:r>
              <w:rPr>
                <w:rFonts w:ascii="Times New Roman" w:hAnsi="Times New Roman"/>
                <w:sz w:val="20"/>
              </w:rPr>
              <w:t>$30–50</w:t>
            </w:r>
          </w:p>
        </w:tc>
      </w:tr>
      <w:tr>
        <w:tc>
          <w:tcPr>
            <w:tcW w:type="dxa" w:w="3000"/>
          </w:tcPr>
          <w:p>
            <w:pPr>
              <w:jc w:val="center"/>
            </w:pPr>
            <w:r>
              <w:rPr>
                <w:rFonts w:ascii="Times New Roman" w:hAnsi="Times New Roman"/>
                <w:sz w:val="20"/>
              </w:rPr>
              <w:t>Total BOM</w:t>
            </w:r>
          </w:p>
        </w:tc>
        <w:tc>
          <w:tcPr>
            <w:tcW w:type="dxa" w:w="3000"/>
          </w:tcPr>
          <w:p>
            <w:pPr>
              <w:jc w:val="center"/>
            </w:pPr>
            <w:r>
              <w:rPr>
                <w:rFonts w:ascii="Times New Roman" w:hAnsi="Times New Roman"/>
                <w:sz w:val="20"/>
              </w:rPr>
            </w:r>
          </w:p>
        </w:tc>
        <w:tc>
          <w:tcPr>
            <w:tcW w:type="dxa" w:w="3000"/>
          </w:tcPr>
          <w:p>
            <w:pPr>
              <w:jc w:val="center"/>
            </w:pPr>
            <w:r>
              <w:rPr>
                <w:rFonts w:ascii="Times New Roman" w:hAnsi="Times New Roman"/>
                <w:sz w:val="20"/>
              </w:rPr>
              <w:t>$73–137</w:t>
            </w:r>
          </w:p>
        </w:tc>
      </w:tr>
    </w:tbl>
    <w:p/>
    <w:p>
      <w:r>
        <w:br w:type="page"/>
      </w:r>
    </w:p>
    <w:p>
      <w:pPr>
        <w:pageBreakBefore/>
        <w:spacing w:after="360"/>
        <w:jc w:val="center"/>
      </w:pPr>
      <w:r>
        <w:rPr>
          <w:rFonts w:ascii="Times New Roman" w:hAnsi="Times New Roman"/>
          <w:b/>
          <w:sz w:val="28"/>
        </w:rPr>
        <w:t>LIST OF PUBLICATIONS</w:t>
      </w:r>
    </w:p>
    <w:p>
      <w:pPr>
        <w:spacing w:line="360" w:lineRule="auto"/>
        <w:jc w:val="both"/>
      </w:pPr>
      <w:r>
        <w:rPr>
          <w:rFonts w:ascii="Times New Roman" w:hAnsi="Times New Roman"/>
          <w:sz w:val="24"/>
        </w:rPr>
        <w:t>1. M. R. Thalassery and S. S. Ali, "A Lean Two-Channel Occipital EEG Pipeline for Pro-Active Driver Drowsiness Monitoring: Causal Smoothing, Per-Driver Calibration, and Survival-Framed Advance Prediction on DROZY and SEED-VIG," (Manuscript under preparation for submission to IEEE Sensors Journal).</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