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Internal Security Audit Report – Botium Toys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1. Project Scope and Objectives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purpose of this document is to outline the internal audit conducted for Botium Toys’ cybersecurity program. </w:t>
        <w:br w:type="textWrapping"/>
        <w:t xml:space="preserve">The audit covers asset identification, current security posture, risk assessment, and recommendations for control improvements aligned with NIST CSF best practices.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audit scope includes all IT-managed assets, internal systems, networks, employee devices, data storage, </w:t>
        <w:br w:type="textWrapping"/>
        <w:t xml:space="preserve">and the physical store and warehouse environments.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and classify current assets and systems.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 compliance with U.S. and international regulations.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 existing controls and policies.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 administrative, technical, and physical controls to improve posture.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a controls and compliance checklist based on industry best practices.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2. Current Assets Overview and Risk Assessment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following assets were identified as part of the Botium Toys infrastructure: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On-premises office equipment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end-user devices (laptops, phones, accessories)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Storefront retail inventory and warehouse stock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 systems (accounting, database, ecommerce, security, telecom)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 access and internal networks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Legacy systems requiring manual maintenance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retention and storage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Risk Assessment Summary: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Risk Score: 8/10 (High)</w:t>
        <w:br w:type="textWrapping"/>
        <w:t xml:space="preserve">- Primary Risks: Inadequate access control, lack of encryption, no backups or disaster recovery plan, weak password enforcement.</w:t>
        <w:br w:type="textWrapping"/>
        <w:t xml:space="preserve">- Potential Impacts: Compliance fines, data breaches, insider threats, business disruption.</w:t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Controls Assessment Checklist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 ] Yes   [ •] No   - Least Privilege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 ] Yes   [• ] No   - Disaster recovery plans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 ] Yes   [• ] No   - Password policies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 ] Yes   [• ] No   - Separation of duties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[• ] Yes   [ ] No   - Firewall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[] Yes   [ •] No   - Intrusion detection system (IDS)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 ] Yes   [• ] No   - Backups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 •] Yes   [ ] No   - Antivirus software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 ] Yes   [ •] No   - Manual monitoring, maintenance, and intervention for legacy systems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 ] Yes   [• ] No   - Encryption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 ] Yes   [• ] No   - Password management system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 ] Yes   [ ] No   - Locks (offices, storefront, warehouse)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 •] Yes   [ ] No   - Closed-circuit television (CCTV) surveillance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 •] Yes   [ ] No   - Fire detection/prevention (fire alarm, sprinkler system, etc.)</w:t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  <w:t xml:space="preserve">Compliance Checklist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Payment Card Industry Data Security Standard (PCI DSS)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 ] Yes   [ •] No   - Only authorized users have access to customers’ credit card information.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 ] Yes   [• ] No   - Credit card information is stored, accepted, processed, and transmitted internally, in a secure environment.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 ] Yes   [ •] No   - Implement data encryption procedures to better secure credit card transaction touchpoints and data.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 ] Yes   [• ] No   - Adopt secure password management policies.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Data Protection Regulation (GDPR)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 ] Yes   [ ] No   - E.U. customers’ data is kept private/secured.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 ] Yes   [ ] No   - There is a plan in place to notify E.U. customers within 72 hours if their data is compromised/there is a breach.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 ] Yes   [ ] No   - Ensure data is properly classified and inventoried.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[ ] Yes   [ ] No   - Enforce privacy policies, procedures, and processes to properly document and maintain data.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System and Organizations Controls (SOC type 1, SOC type 2)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[ ] Yes   [ •] No   - User access policies are established.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[ ] Yes   [ •] No   - Sensitive data (PII/SPII) is confidential/private.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 •] Yes   [ ] No   - Data integrity ensures the data is consistent, complete, accurate, and has been validated.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[• ] Yes   [ ] No   - Data is available to individuals authorized to access it.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To strengthen Botium Toys’ IT security, we recommend implementing strict access controls, using encryption for customer credit card data, installing an intrusion detection system (IDS), and developing a disaster recovery plan with regular backups. Additionally, we should enhance the password policy, establish a centralized password management system, and create a maintenance schedule for legacy systems.</w:t>
        <w:br w:type="textWrapping"/>
        <w:br w:type="textWrapping"/>
        <w:t xml:space="preserve">Best regards,</w:t>
        <w:br w:type="textWrapping"/>
        <w:t xml:space="preserve">Muhammed Afnaan</w:t>
        <w:br w:type="textWrapping"/>
        <w:t xml:space="preserve">afnaanspy@gmail.com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